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A762D7" w:rsidRPr="00A762D7" w14:paraId="6E02A176" w14:textId="77777777" w:rsidTr="00A762D7">
        <w:tc>
          <w:tcPr>
            <w:tcW w:w="3348" w:type="dxa"/>
            <w:shd w:val="clear" w:color="auto" w:fill="FFFFFF"/>
            <w:tcMar>
              <w:top w:w="0" w:type="dxa"/>
              <w:left w:w="108" w:type="dxa"/>
              <w:bottom w:w="0" w:type="dxa"/>
              <w:right w:w="108" w:type="dxa"/>
            </w:tcMar>
            <w:hideMark/>
          </w:tcPr>
          <w:p w14:paraId="73EF508E" w14:textId="77777777" w:rsidR="00A762D7" w:rsidRPr="00A762D7" w:rsidRDefault="00A762D7" w:rsidP="00A762D7">
            <w:pPr>
              <w:spacing w:before="120" w:after="300" w:line="240" w:lineRule="auto"/>
              <w:jc w:val="center"/>
              <w:rPr>
                <w:rFonts w:ascii="Open Sans" w:eastAsia="Times New Roman" w:hAnsi="Open Sans" w:cs="Open Sans"/>
                <w:color w:val="646464"/>
                <w:sz w:val="21"/>
                <w:szCs w:val="21"/>
              </w:rPr>
            </w:pPr>
            <w:r w:rsidRPr="00A762D7">
              <w:rPr>
                <w:rFonts w:ascii="Open Sans" w:eastAsia="Times New Roman" w:hAnsi="Open Sans" w:cs="Open Sans"/>
                <w:color w:val="646464"/>
                <w:sz w:val="21"/>
                <w:szCs w:val="21"/>
                <w:lang w:val="vi-VN"/>
              </w:rPr>
              <w:t>BỘ TÀI CHÍNH</w:t>
            </w:r>
            <w:r w:rsidRPr="00A762D7">
              <w:rPr>
                <w:rFonts w:ascii="Open Sans" w:eastAsia="Times New Roman" w:hAnsi="Open Sans" w:cs="Open Sans"/>
                <w:b/>
                <w:bCs/>
                <w:color w:val="646464"/>
                <w:sz w:val="21"/>
                <w:szCs w:val="21"/>
              </w:rPr>
              <w:br/>
            </w:r>
            <w:r w:rsidRPr="00A762D7">
              <w:rPr>
                <w:rFonts w:ascii="Open Sans" w:eastAsia="Times New Roman" w:hAnsi="Open Sans" w:cs="Open Sans"/>
                <w:b/>
                <w:bCs/>
                <w:color w:val="646464"/>
                <w:sz w:val="21"/>
                <w:szCs w:val="21"/>
                <w:lang w:val="vi-VN"/>
              </w:rPr>
              <w:t>TỔNG CỤC HẢI QUAN</w:t>
            </w:r>
            <w:r w:rsidRPr="00A762D7">
              <w:rPr>
                <w:rFonts w:ascii="Open Sans" w:eastAsia="Times New Roman" w:hAnsi="Open Sans" w:cs="Open Sans"/>
                <w:b/>
                <w:bCs/>
                <w:color w:val="646464"/>
                <w:sz w:val="21"/>
                <w:szCs w:val="21"/>
                <w:lang w:val="vi-VN"/>
              </w:rPr>
              <w:br/>
              <w:t>-------</w:t>
            </w:r>
          </w:p>
        </w:tc>
        <w:tc>
          <w:tcPr>
            <w:tcW w:w="5508" w:type="dxa"/>
            <w:shd w:val="clear" w:color="auto" w:fill="FFFFFF"/>
            <w:tcMar>
              <w:top w:w="0" w:type="dxa"/>
              <w:left w:w="108" w:type="dxa"/>
              <w:bottom w:w="0" w:type="dxa"/>
              <w:right w:w="108" w:type="dxa"/>
            </w:tcMar>
            <w:hideMark/>
          </w:tcPr>
          <w:p w14:paraId="3EF23C5D" w14:textId="77777777" w:rsidR="00A762D7" w:rsidRPr="00A762D7" w:rsidRDefault="00A762D7" w:rsidP="00A762D7">
            <w:pPr>
              <w:spacing w:before="120" w:after="300" w:line="240" w:lineRule="auto"/>
              <w:jc w:val="center"/>
              <w:rPr>
                <w:rFonts w:ascii="Open Sans" w:eastAsia="Times New Roman" w:hAnsi="Open Sans" w:cs="Open Sans"/>
                <w:color w:val="646464"/>
                <w:sz w:val="21"/>
                <w:szCs w:val="21"/>
              </w:rPr>
            </w:pPr>
            <w:r w:rsidRPr="00A762D7">
              <w:rPr>
                <w:rFonts w:ascii="Open Sans" w:eastAsia="Times New Roman" w:hAnsi="Open Sans" w:cs="Open Sans"/>
                <w:b/>
                <w:bCs/>
                <w:color w:val="646464"/>
                <w:sz w:val="21"/>
                <w:szCs w:val="21"/>
                <w:lang w:val="vi-VN"/>
              </w:rPr>
              <w:t>CỘNG HÒA XÃ HỘI CHỦ NGHĨA VIỆT NAM</w:t>
            </w:r>
            <w:r w:rsidRPr="00A762D7">
              <w:rPr>
                <w:rFonts w:ascii="Open Sans" w:eastAsia="Times New Roman" w:hAnsi="Open Sans" w:cs="Open Sans"/>
                <w:b/>
                <w:bCs/>
                <w:color w:val="646464"/>
                <w:sz w:val="21"/>
                <w:szCs w:val="21"/>
                <w:lang w:val="vi-VN"/>
              </w:rPr>
              <w:br/>
              <w:t>Độc lập - Tự do - Hạnh phúc</w:t>
            </w:r>
            <w:r w:rsidRPr="00A762D7">
              <w:rPr>
                <w:rFonts w:ascii="Open Sans" w:eastAsia="Times New Roman" w:hAnsi="Open Sans" w:cs="Open Sans"/>
                <w:b/>
                <w:bCs/>
                <w:color w:val="646464"/>
                <w:sz w:val="21"/>
                <w:szCs w:val="21"/>
                <w:lang w:val="vi-VN"/>
              </w:rPr>
              <w:br/>
              <w:t>---------------</w:t>
            </w:r>
          </w:p>
        </w:tc>
      </w:tr>
      <w:tr w:rsidR="00A762D7" w:rsidRPr="00A762D7" w14:paraId="5D18A7D6" w14:textId="77777777" w:rsidTr="00A762D7">
        <w:tc>
          <w:tcPr>
            <w:tcW w:w="3348" w:type="dxa"/>
            <w:shd w:val="clear" w:color="auto" w:fill="FFFFFF"/>
            <w:tcMar>
              <w:top w:w="0" w:type="dxa"/>
              <w:left w:w="108" w:type="dxa"/>
              <w:bottom w:w="0" w:type="dxa"/>
              <w:right w:w="108" w:type="dxa"/>
            </w:tcMar>
            <w:hideMark/>
          </w:tcPr>
          <w:p w14:paraId="75F9185C" w14:textId="5C45B738" w:rsidR="00A762D7" w:rsidRPr="00A762D7" w:rsidRDefault="00A762D7" w:rsidP="00A762D7">
            <w:pPr>
              <w:spacing w:before="120" w:after="300" w:line="240" w:lineRule="auto"/>
              <w:jc w:val="both"/>
              <w:rPr>
                <w:rFonts w:ascii="Open Sans" w:eastAsia="Times New Roman" w:hAnsi="Open Sans" w:cs="Open Sans"/>
                <w:color w:val="646464"/>
                <w:sz w:val="21"/>
                <w:szCs w:val="21"/>
              </w:rPr>
            </w:pPr>
            <w:r w:rsidRPr="00A762D7">
              <w:rPr>
                <w:rFonts w:ascii="Open Sans" w:eastAsia="Times New Roman" w:hAnsi="Open Sans" w:cs="Open Sans"/>
                <w:color w:val="646464"/>
                <w:sz w:val="21"/>
                <w:szCs w:val="21"/>
                <w:lang w:val="vi-VN"/>
              </w:rPr>
              <w:t>Số:556/TCHQ-GSQL</w:t>
            </w:r>
            <w:r w:rsidRPr="00A762D7">
              <w:rPr>
                <w:rFonts w:ascii="Open Sans" w:eastAsia="Times New Roman" w:hAnsi="Open Sans" w:cs="Open Sans"/>
                <w:color w:val="646464"/>
                <w:sz w:val="21"/>
                <w:szCs w:val="21"/>
                <w:lang w:val="vi-VN"/>
              </w:rPr>
              <w:br/>
            </w:r>
            <w:r w:rsidRPr="00A762D7">
              <w:rPr>
                <w:rFonts w:ascii="Open Sans" w:eastAsia="Times New Roman" w:hAnsi="Open Sans" w:cs="Open Sans"/>
                <w:i/>
                <w:iCs/>
                <w:color w:val="646464"/>
                <w:sz w:val="16"/>
                <w:szCs w:val="16"/>
                <w:lang w:val="vi-VN"/>
              </w:rPr>
              <w:t>V/v khai sai mã loại hình tờ khai xuất khẩu từ nguồn tạm nhập</w:t>
            </w:r>
          </w:p>
        </w:tc>
        <w:tc>
          <w:tcPr>
            <w:tcW w:w="5508" w:type="dxa"/>
            <w:shd w:val="clear" w:color="auto" w:fill="FFFFFF"/>
            <w:tcMar>
              <w:top w:w="0" w:type="dxa"/>
              <w:left w:w="108" w:type="dxa"/>
              <w:bottom w:w="0" w:type="dxa"/>
              <w:right w:w="108" w:type="dxa"/>
            </w:tcMar>
            <w:hideMark/>
          </w:tcPr>
          <w:p w14:paraId="70288239" w14:textId="77777777" w:rsidR="00A762D7" w:rsidRPr="00A762D7" w:rsidRDefault="00A762D7" w:rsidP="00A762D7">
            <w:pPr>
              <w:spacing w:before="120" w:after="300" w:line="240" w:lineRule="auto"/>
              <w:jc w:val="right"/>
              <w:rPr>
                <w:rFonts w:ascii="Open Sans" w:eastAsia="Times New Roman" w:hAnsi="Open Sans" w:cs="Open Sans"/>
                <w:color w:val="646464"/>
                <w:sz w:val="21"/>
                <w:szCs w:val="21"/>
              </w:rPr>
            </w:pPr>
            <w:r w:rsidRPr="00A762D7">
              <w:rPr>
                <w:rFonts w:ascii="Open Sans" w:eastAsia="Times New Roman" w:hAnsi="Open Sans" w:cs="Open Sans"/>
                <w:i/>
                <w:iCs/>
                <w:color w:val="646464"/>
                <w:sz w:val="21"/>
                <w:szCs w:val="21"/>
                <w:lang w:val="vi-VN"/>
              </w:rPr>
              <w:t>Hà Nội, ngày 09 tháng 2 năm 2023</w:t>
            </w:r>
          </w:p>
        </w:tc>
      </w:tr>
    </w:tbl>
    <w:p w14:paraId="15EBA293" w14:textId="77777777" w:rsidR="00A762D7" w:rsidRPr="00A762D7" w:rsidRDefault="00A762D7" w:rsidP="00A762D7">
      <w:pPr>
        <w:shd w:val="clear" w:color="auto" w:fill="FFFFFF"/>
        <w:spacing w:before="120" w:after="300" w:line="240" w:lineRule="auto"/>
        <w:jc w:val="both"/>
        <w:rPr>
          <w:rFonts w:ascii="Open Sans" w:eastAsia="Times New Roman" w:hAnsi="Open Sans" w:cs="Open Sans"/>
          <w:color w:val="646464"/>
          <w:sz w:val="21"/>
          <w:szCs w:val="21"/>
        </w:rPr>
      </w:pPr>
      <w:r w:rsidRPr="00A762D7">
        <w:rPr>
          <w:rFonts w:ascii="Open Sans" w:eastAsia="Times New Roman" w:hAnsi="Open Sans" w:cs="Open Sans"/>
          <w:color w:val="646464"/>
          <w:sz w:val="21"/>
          <w:szCs w:val="21"/>
          <w:lang w:val="vi-VN"/>
        </w:rPr>
        <w:t> </w:t>
      </w:r>
    </w:p>
    <w:p w14:paraId="0BC88F1D" w14:textId="77777777" w:rsidR="00A762D7" w:rsidRPr="00A762D7" w:rsidRDefault="00A762D7" w:rsidP="00A762D7">
      <w:pPr>
        <w:shd w:val="clear" w:color="auto" w:fill="FFFFFF"/>
        <w:spacing w:before="120" w:after="300" w:line="240" w:lineRule="auto"/>
        <w:jc w:val="center"/>
        <w:rPr>
          <w:rFonts w:ascii="Open Sans" w:eastAsia="Times New Roman" w:hAnsi="Open Sans" w:cs="Open Sans"/>
          <w:color w:val="646464"/>
          <w:sz w:val="21"/>
          <w:szCs w:val="21"/>
        </w:rPr>
      </w:pPr>
      <w:r w:rsidRPr="00A762D7">
        <w:rPr>
          <w:rFonts w:ascii="Open Sans" w:eastAsia="Times New Roman" w:hAnsi="Open Sans" w:cs="Open Sans"/>
          <w:b/>
          <w:bCs/>
          <w:color w:val="646464"/>
          <w:sz w:val="21"/>
          <w:szCs w:val="21"/>
          <w:lang w:val="vi-VN"/>
        </w:rPr>
        <w:t>Kính gửi:</w:t>
      </w:r>
      <w:r w:rsidRPr="00A762D7">
        <w:rPr>
          <w:rFonts w:ascii="Open Sans" w:eastAsia="Times New Roman" w:hAnsi="Open Sans" w:cs="Open Sans"/>
          <w:color w:val="646464"/>
          <w:sz w:val="21"/>
          <w:szCs w:val="21"/>
          <w:lang w:val="vi-VN"/>
        </w:rPr>
        <w:t> Cục Hải quan tỉnh Khánh Hòa.</w:t>
      </w:r>
    </w:p>
    <w:p w14:paraId="2826F75F" w14:textId="77777777" w:rsidR="00A762D7" w:rsidRPr="00A762D7" w:rsidRDefault="00A762D7" w:rsidP="00A762D7">
      <w:pPr>
        <w:shd w:val="clear" w:color="auto" w:fill="FFFFFF"/>
        <w:spacing w:before="120" w:after="300" w:line="240" w:lineRule="auto"/>
        <w:jc w:val="both"/>
        <w:rPr>
          <w:rFonts w:ascii="Open Sans" w:eastAsia="Times New Roman" w:hAnsi="Open Sans" w:cs="Open Sans"/>
          <w:color w:val="646464"/>
          <w:sz w:val="21"/>
          <w:szCs w:val="21"/>
        </w:rPr>
      </w:pPr>
      <w:r w:rsidRPr="00A762D7">
        <w:rPr>
          <w:rFonts w:ascii="Open Sans" w:eastAsia="Times New Roman" w:hAnsi="Open Sans" w:cs="Open Sans"/>
          <w:color w:val="646464"/>
          <w:sz w:val="21"/>
          <w:szCs w:val="21"/>
          <w:lang w:val="vi-VN"/>
        </w:rPr>
        <w:t>Trả lời công văn số 124/HQKH-NV ngày 17/01/2023 của Cục Hải quan tỉnh Khánh Hòa về việc khai sai mã loại hình tờ khai xuất khẩu từ nguồn tạm nhập khẩu, Tổng cục Hải quan có ý kiến như sau:</w:t>
      </w:r>
    </w:p>
    <w:p w14:paraId="79ECB4F3" w14:textId="77777777" w:rsidR="00A762D7" w:rsidRPr="00A762D7" w:rsidRDefault="00A762D7" w:rsidP="00A762D7">
      <w:pPr>
        <w:shd w:val="clear" w:color="auto" w:fill="FFFFFF"/>
        <w:spacing w:before="120" w:after="300" w:line="240" w:lineRule="auto"/>
        <w:jc w:val="both"/>
        <w:rPr>
          <w:rFonts w:ascii="Open Sans" w:eastAsia="Times New Roman" w:hAnsi="Open Sans" w:cs="Open Sans"/>
          <w:color w:val="646464"/>
          <w:sz w:val="21"/>
          <w:szCs w:val="21"/>
        </w:rPr>
      </w:pPr>
      <w:r w:rsidRPr="00A762D7">
        <w:rPr>
          <w:rFonts w:ascii="Open Sans" w:eastAsia="Times New Roman" w:hAnsi="Open Sans" w:cs="Open Sans"/>
          <w:color w:val="646464"/>
          <w:sz w:val="21"/>
          <w:szCs w:val="21"/>
          <w:lang w:val="vi-VN"/>
        </w:rPr>
        <w:t>Đề nghị Cục Hải quan tỉnh Khánh Hòa kiểm tra thông tin về hàng hóa của các tờ khai xuất khẩu theo mã loại hình H21 (đối chiếu, kiểm tra các chứng từ trong hồ sơ hải quan); trường hợp cần thiết thực hiện kiểm tra sổ sách, chứng từ liên quan tại doanh nghiệp (có biên bản làm việc) để xác định hàng hóa trên tờ khai xuất khẩu có phải là hàng đã tạm nhập hay không?</w:t>
      </w:r>
    </w:p>
    <w:p w14:paraId="08E6CC63" w14:textId="77777777" w:rsidR="00A762D7" w:rsidRPr="00A762D7" w:rsidRDefault="00A762D7" w:rsidP="00A762D7">
      <w:pPr>
        <w:shd w:val="clear" w:color="auto" w:fill="FFFFFF"/>
        <w:spacing w:before="120" w:after="300" w:line="240" w:lineRule="auto"/>
        <w:jc w:val="both"/>
        <w:rPr>
          <w:rFonts w:ascii="Open Sans" w:eastAsia="Times New Roman" w:hAnsi="Open Sans" w:cs="Open Sans"/>
          <w:color w:val="646464"/>
          <w:sz w:val="21"/>
          <w:szCs w:val="21"/>
        </w:rPr>
      </w:pPr>
      <w:r w:rsidRPr="00A762D7">
        <w:rPr>
          <w:rFonts w:ascii="Open Sans" w:eastAsia="Times New Roman" w:hAnsi="Open Sans" w:cs="Open Sans"/>
          <w:color w:val="646464"/>
          <w:sz w:val="21"/>
          <w:szCs w:val="21"/>
          <w:lang w:val="vi-VN"/>
        </w:rPr>
        <w:t xml:space="preserve">Trường hợp có cơ sở xác định hàng xuất khẩu tại các tờ khai mã loại hình H21 là hàng đã tạm nhập trước đây thì Cục Hải quan tỉnh Khánh Hòa căn cứ Biên bản làm việc, tờ khai xuất khẩu để thực hiện thanh khoản tờ khai tạm nhập và xử lý vi phạm. Việc thanh khoản tờ khai tạm nhập thực hiện như trường hợp khôi phục số lượng hàng trên tờ khai tạm nhập trong trường hợp Hệ thống không hỗ trợ khôi phục số lượng tại điểm 5 Điều 23 Quy trình ban hành kèm Quyết định số 1966/QĐ-TCHQ ngày 10/7/2015 của Tổng cục Hải quan, cụ thể: Chi cục Hải quan mở tờ khai tạm nhập </w:t>
      </w:r>
      <w:proofErr w:type="spellStart"/>
      <w:r w:rsidRPr="00A762D7">
        <w:rPr>
          <w:rFonts w:ascii="Open Sans" w:eastAsia="Times New Roman" w:hAnsi="Open Sans" w:cs="Open Sans"/>
          <w:color w:val="646464"/>
          <w:sz w:val="21"/>
          <w:szCs w:val="21"/>
          <w:lang w:val="vi-VN"/>
        </w:rPr>
        <w:t>nhập</w:t>
      </w:r>
      <w:proofErr w:type="spellEnd"/>
      <w:r w:rsidRPr="00A762D7">
        <w:rPr>
          <w:rFonts w:ascii="Open Sans" w:eastAsia="Times New Roman" w:hAnsi="Open Sans" w:cs="Open Sans"/>
          <w:color w:val="646464"/>
          <w:sz w:val="21"/>
          <w:szCs w:val="21"/>
          <w:lang w:val="vi-VN"/>
        </w:rPr>
        <w:t xml:space="preserve"> số tờ khai xuất khẩu mã loại hình H21 (thay thế tờ khai tái xuất) vào tờ khai tạm nhập ban đầu thông qua nghiệp vụ CNO/CNO11 và theo dõi lượng hàng tái xuất ngoài Hệ thống;</w:t>
      </w:r>
    </w:p>
    <w:p w14:paraId="193B9A0E" w14:textId="77777777" w:rsidR="00A762D7" w:rsidRPr="00A762D7" w:rsidRDefault="00A762D7" w:rsidP="00A762D7">
      <w:pPr>
        <w:shd w:val="clear" w:color="auto" w:fill="FFFFFF"/>
        <w:spacing w:before="120" w:after="300" w:line="240" w:lineRule="auto"/>
        <w:jc w:val="both"/>
        <w:rPr>
          <w:rFonts w:ascii="Open Sans" w:eastAsia="Times New Roman" w:hAnsi="Open Sans" w:cs="Open Sans"/>
          <w:color w:val="646464"/>
          <w:sz w:val="21"/>
          <w:szCs w:val="21"/>
        </w:rPr>
      </w:pPr>
      <w:r w:rsidRPr="00A762D7">
        <w:rPr>
          <w:rFonts w:ascii="Open Sans" w:eastAsia="Times New Roman" w:hAnsi="Open Sans" w:cs="Open Sans"/>
          <w:color w:val="646464"/>
          <w:sz w:val="21"/>
          <w:szCs w:val="21"/>
          <w:lang w:val="vi-VN"/>
        </w:rPr>
        <w:t>Trường hợp không có cơ sở xác định hàng hóa xuất khẩu tại các tờ khai mã loại hình H21 là hàng đã tạm nhập trước đây thì Cục Hải quan tỉnh Khánh Hòa yêu cầu doanh nghiệp tái xuất đúng hàng hóa đã tạm nhập, nếu không thực hiện tái xuất thì yêu cầu mở tờ khai thay đổi mục đích sử dụng hàng tạm nhập và xử lý vi phạm theo quy định của pháp luật về thuế và hải quan.</w:t>
      </w:r>
    </w:p>
    <w:p w14:paraId="1E91C562" w14:textId="77777777" w:rsidR="00A762D7" w:rsidRPr="00A762D7" w:rsidRDefault="00A762D7" w:rsidP="00A762D7">
      <w:pPr>
        <w:shd w:val="clear" w:color="auto" w:fill="FFFFFF"/>
        <w:spacing w:before="120" w:after="300" w:line="240" w:lineRule="auto"/>
        <w:jc w:val="both"/>
        <w:rPr>
          <w:rFonts w:ascii="Open Sans" w:eastAsia="Times New Roman" w:hAnsi="Open Sans" w:cs="Open Sans"/>
          <w:color w:val="646464"/>
          <w:sz w:val="21"/>
          <w:szCs w:val="21"/>
        </w:rPr>
      </w:pPr>
      <w:r w:rsidRPr="00A762D7">
        <w:rPr>
          <w:rFonts w:ascii="Open Sans" w:eastAsia="Times New Roman" w:hAnsi="Open Sans" w:cs="Open Sans"/>
          <w:color w:val="646464"/>
          <w:sz w:val="21"/>
          <w:szCs w:val="21"/>
          <w:lang w:val="vi-VN"/>
        </w:rPr>
        <w:t>Tổng cục Hải quan trả lời để Cục Hải quan tỉnh Khánh Hòa biết, thực hiện./.</w:t>
      </w:r>
    </w:p>
    <w:p w14:paraId="594E0037" w14:textId="77777777" w:rsidR="00A762D7" w:rsidRPr="00A762D7" w:rsidRDefault="00A762D7" w:rsidP="00A762D7">
      <w:pPr>
        <w:shd w:val="clear" w:color="auto" w:fill="FFFFFF"/>
        <w:spacing w:before="120" w:after="300" w:line="240" w:lineRule="auto"/>
        <w:jc w:val="both"/>
        <w:rPr>
          <w:rFonts w:ascii="Open Sans" w:eastAsia="Times New Roman" w:hAnsi="Open Sans" w:cs="Open Sans"/>
          <w:color w:val="646464"/>
          <w:sz w:val="21"/>
          <w:szCs w:val="21"/>
        </w:rPr>
      </w:pPr>
      <w:r w:rsidRPr="00A762D7">
        <w:rPr>
          <w:rFonts w:ascii="Open Sans" w:eastAsia="Times New Roman" w:hAnsi="Open Sans" w:cs="Open Sans"/>
          <w:color w:val="646464"/>
          <w:sz w:val="21"/>
          <w:szCs w:val="21"/>
          <w:lang w:val="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A762D7" w:rsidRPr="00A762D7" w14:paraId="2E2960D7" w14:textId="77777777" w:rsidTr="00A762D7">
        <w:tc>
          <w:tcPr>
            <w:tcW w:w="4428" w:type="dxa"/>
            <w:shd w:val="clear" w:color="auto" w:fill="FFFFFF"/>
            <w:tcMar>
              <w:top w:w="0" w:type="dxa"/>
              <w:left w:w="108" w:type="dxa"/>
              <w:bottom w:w="0" w:type="dxa"/>
              <w:right w:w="108" w:type="dxa"/>
            </w:tcMar>
            <w:hideMark/>
          </w:tcPr>
          <w:p w14:paraId="206B1FFD" w14:textId="77777777" w:rsidR="00A762D7" w:rsidRPr="00A762D7" w:rsidRDefault="00A762D7" w:rsidP="00A762D7">
            <w:pPr>
              <w:spacing w:before="120" w:after="300" w:line="240" w:lineRule="auto"/>
              <w:jc w:val="both"/>
              <w:rPr>
                <w:rFonts w:ascii="Open Sans" w:eastAsia="Times New Roman" w:hAnsi="Open Sans" w:cs="Open Sans"/>
                <w:color w:val="646464"/>
                <w:sz w:val="21"/>
                <w:szCs w:val="21"/>
              </w:rPr>
            </w:pPr>
            <w:r w:rsidRPr="00A762D7">
              <w:rPr>
                <w:rFonts w:ascii="Open Sans" w:eastAsia="Times New Roman" w:hAnsi="Open Sans" w:cs="Open Sans"/>
                <w:b/>
                <w:bCs/>
                <w:i/>
                <w:iCs/>
                <w:color w:val="646464"/>
                <w:sz w:val="21"/>
                <w:szCs w:val="21"/>
                <w:lang w:val="vi-VN"/>
              </w:rPr>
              <w:br/>
              <w:t>Nơi nhận:</w:t>
            </w:r>
            <w:r w:rsidRPr="00A762D7">
              <w:rPr>
                <w:rFonts w:ascii="Open Sans" w:eastAsia="Times New Roman" w:hAnsi="Open Sans" w:cs="Open Sans"/>
                <w:b/>
                <w:bCs/>
                <w:i/>
                <w:iCs/>
                <w:color w:val="646464"/>
                <w:sz w:val="21"/>
                <w:szCs w:val="21"/>
                <w:lang w:val="vi-VN"/>
              </w:rPr>
              <w:br/>
            </w:r>
            <w:r w:rsidRPr="00A762D7">
              <w:rPr>
                <w:rFonts w:ascii="Open Sans" w:eastAsia="Times New Roman" w:hAnsi="Open Sans" w:cs="Open Sans"/>
                <w:color w:val="646464"/>
                <w:sz w:val="16"/>
                <w:szCs w:val="16"/>
                <w:lang w:val="vi-VN"/>
              </w:rPr>
              <w:t>- Như trên;</w:t>
            </w:r>
            <w:r w:rsidRPr="00A762D7">
              <w:rPr>
                <w:rFonts w:ascii="Open Sans" w:eastAsia="Times New Roman" w:hAnsi="Open Sans" w:cs="Open Sans"/>
                <w:color w:val="646464"/>
                <w:sz w:val="16"/>
                <w:szCs w:val="16"/>
                <w:lang w:val="vi-VN"/>
              </w:rPr>
              <w:br/>
              <w:t>- Lưu: VT.GSQL (03 bản).</w:t>
            </w:r>
          </w:p>
        </w:tc>
        <w:tc>
          <w:tcPr>
            <w:tcW w:w="4428" w:type="dxa"/>
            <w:shd w:val="clear" w:color="auto" w:fill="FFFFFF"/>
            <w:tcMar>
              <w:top w:w="0" w:type="dxa"/>
              <w:left w:w="108" w:type="dxa"/>
              <w:bottom w:w="0" w:type="dxa"/>
              <w:right w:w="108" w:type="dxa"/>
            </w:tcMar>
            <w:hideMark/>
          </w:tcPr>
          <w:p w14:paraId="48B6F6DD" w14:textId="77777777" w:rsidR="00A762D7" w:rsidRPr="00A762D7" w:rsidRDefault="00A762D7" w:rsidP="00A762D7">
            <w:pPr>
              <w:spacing w:before="120" w:after="300" w:line="240" w:lineRule="auto"/>
              <w:jc w:val="center"/>
              <w:rPr>
                <w:rFonts w:ascii="Open Sans" w:eastAsia="Times New Roman" w:hAnsi="Open Sans" w:cs="Open Sans"/>
                <w:color w:val="646464"/>
                <w:sz w:val="21"/>
                <w:szCs w:val="21"/>
              </w:rPr>
            </w:pPr>
            <w:r w:rsidRPr="00A762D7">
              <w:rPr>
                <w:rFonts w:ascii="Open Sans" w:eastAsia="Times New Roman" w:hAnsi="Open Sans" w:cs="Open Sans"/>
                <w:b/>
                <w:bCs/>
                <w:color w:val="646464"/>
                <w:sz w:val="21"/>
                <w:szCs w:val="21"/>
                <w:lang w:val="vi-VN"/>
              </w:rPr>
              <w:t>KT. TỔNG CỤC TRƯỞNG</w:t>
            </w:r>
            <w:r w:rsidRPr="00A762D7">
              <w:rPr>
                <w:rFonts w:ascii="Open Sans" w:eastAsia="Times New Roman" w:hAnsi="Open Sans" w:cs="Open Sans"/>
                <w:b/>
                <w:bCs/>
                <w:color w:val="646464"/>
                <w:sz w:val="21"/>
                <w:szCs w:val="21"/>
                <w:lang w:val="vi-VN"/>
              </w:rPr>
              <w:br/>
              <w:t>PHÓ TỔNG CỤC TRƯỞNG</w:t>
            </w:r>
            <w:r w:rsidRPr="00A762D7">
              <w:rPr>
                <w:rFonts w:ascii="Open Sans" w:eastAsia="Times New Roman" w:hAnsi="Open Sans" w:cs="Open Sans"/>
                <w:b/>
                <w:bCs/>
                <w:color w:val="646464"/>
                <w:sz w:val="21"/>
                <w:szCs w:val="21"/>
                <w:lang w:val="vi-VN"/>
              </w:rPr>
              <w:br/>
            </w:r>
            <w:r w:rsidRPr="00A762D7">
              <w:rPr>
                <w:rFonts w:ascii="Open Sans" w:eastAsia="Times New Roman" w:hAnsi="Open Sans" w:cs="Open Sans"/>
                <w:b/>
                <w:bCs/>
                <w:color w:val="646464"/>
                <w:sz w:val="21"/>
                <w:szCs w:val="21"/>
                <w:lang w:val="vi-VN"/>
              </w:rPr>
              <w:br/>
            </w:r>
            <w:r w:rsidRPr="00A762D7">
              <w:rPr>
                <w:rFonts w:ascii="Open Sans" w:eastAsia="Times New Roman" w:hAnsi="Open Sans" w:cs="Open Sans"/>
                <w:b/>
                <w:bCs/>
                <w:color w:val="646464"/>
                <w:sz w:val="21"/>
                <w:szCs w:val="21"/>
                <w:lang w:val="vi-VN"/>
              </w:rPr>
              <w:br/>
            </w:r>
            <w:r w:rsidRPr="00A762D7">
              <w:rPr>
                <w:rFonts w:ascii="Open Sans" w:eastAsia="Times New Roman" w:hAnsi="Open Sans" w:cs="Open Sans"/>
                <w:b/>
                <w:bCs/>
                <w:color w:val="646464"/>
                <w:sz w:val="21"/>
                <w:szCs w:val="21"/>
                <w:lang w:val="vi-VN"/>
              </w:rPr>
              <w:br/>
            </w:r>
            <w:r w:rsidRPr="00A762D7">
              <w:rPr>
                <w:rFonts w:ascii="Open Sans" w:eastAsia="Times New Roman" w:hAnsi="Open Sans" w:cs="Open Sans"/>
                <w:b/>
                <w:bCs/>
                <w:color w:val="646464"/>
                <w:sz w:val="21"/>
                <w:szCs w:val="21"/>
                <w:lang w:val="vi-VN"/>
              </w:rPr>
              <w:br/>
              <w:t>Mai Xuân Thành</w:t>
            </w:r>
          </w:p>
        </w:tc>
      </w:tr>
    </w:tbl>
    <w:p w14:paraId="7947344F" w14:textId="77777777" w:rsidR="000B2F5F" w:rsidRDefault="000B2F5F"/>
    <w:sectPr w:rsidR="000B2F5F" w:rsidSect="00A762D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D7"/>
    <w:rsid w:val="000B2F5F"/>
    <w:rsid w:val="00A7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2C16"/>
  <w15:chartTrackingRefBased/>
  <w15:docId w15:val="{69B00B44-BB28-47F4-81A6-A3B3B25A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Trần văn</dc:creator>
  <cp:keywords/>
  <dc:description/>
  <cp:lastModifiedBy>Minh Trần văn</cp:lastModifiedBy>
  <cp:revision>1</cp:revision>
  <dcterms:created xsi:type="dcterms:W3CDTF">2023-04-06T07:17:00Z</dcterms:created>
  <dcterms:modified xsi:type="dcterms:W3CDTF">2023-04-06T07:17:00Z</dcterms:modified>
</cp:coreProperties>
</file>