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5400"/>
      </w:tblGrid>
      <w:tr w:rsidR="00572345" w:rsidRPr="00572345" w:rsidTr="00572345">
        <w:trPr>
          <w:tblCellSpacing w:w="15" w:type="dxa"/>
        </w:trPr>
        <w:tc>
          <w:tcPr>
            <w:tcW w:w="4275" w:type="dxa"/>
            <w:vAlign w:val="center"/>
            <w:hideMark/>
          </w:tcPr>
          <w:p w:rsidR="0005544C" w:rsidRPr="00572345" w:rsidRDefault="0005544C" w:rsidP="0057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bookmarkStart w:id="0" w:name="_GoBack"/>
            <w:r w:rsidRPr="00572345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BỘ TÀI CHÍNH </w:t>
            </w:r>
            <w:r w:rsidRPr="00572345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br/>
            </w:r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TỔNG CỤC HẢI QUAN</w:t>
            </w:r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br/>
              <w:t>-------</w:t>
            </w:r>
          </w:p>
        </w:tc>
        <w:tc>
          <w:tcPr>
            <w:tcW w:w="5355" w:type="dxa"/>
            <w:vAlign w:val="center"/>
            <w:hideMark/>
          </w:tcPr>
          <w:p w:rsidR="0005544C" w:rsidRPr="00572345" w:rsidRDefault="0005544C" w:rsidP="0057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CỘNG HÒA XÃ HỘI CHỦ NGHĨA VIỆT NAM</w:t>
            </w:r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br/>
            </w:r>
            <w:proofErr w:type="spellStart"/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Độc</w:t>
            </w:r>
            <w:proofErr w:type="spellEnd"/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do - </w:t>
            </w:r>
            <w:proofErr w:type="spellStart"/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Hạnh</w:t>
            </w:r>
            <w:proofErr w:type="spellEnd"/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phúc</w:t>
            </w:r>
            <w:proofErr w:type="spellEnd"/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br/>
              <w:t>---------------</w:t>
            </w:r>
          </w:p>
        </w:tc>
      </w:tr>
      <w:tr w:rsidR="00572345" w:rsidRPr="00572345" w:rsidTr="00572345">
        <w:trPr>
          <w:tblCellSpacing w:w="15" w:type="dxa"/>
        </w:trPr>
        <w:tc>
          <w:tcPr>
            <w:tcW w:w="4275" w:type="dxa"/>
            <w:vAlign w:val="center"/>
            <w:hideMark/>
          </w:tcPr>
          <w:p w:rsidR="0005544C" w:rsidRPr="00572345" w:rsidRDefault="00323FE0" w:rsidP="00D07F11">
            <w:pPr>
              <w:pStyle w:val="Heading1"/>
              <w:shd w:val="clear" w:color="auto" w:fill="FFFFFF"/>
              <w:spacing w:before="0" w:beforeAutospacing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proofErr w:type="spellStart"/>
            <w:r w:rsidRPr="00572345">
              <w:rPr>
                <w:rFonts w:ascii="Arial" w:hAnsi="Arial" w:cs="Arial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572345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: </w:t>
            </w:r>
            <w:r w:rsidR="00D07F11" w:rsidRPr="00D07F11">
              <w:rPr>
                <w:rFonts w:ascii="Arial" w:hAnsi="Arial" w:cs="Arial"/>
                <w:color w:val="000000" w:themeColor="text1"/>
                <w:sz w:val="26"/>
                <w:szCs w:val="26"/>
              </w:rPr>
              <w:t>4317</w:t>
            </w:r>
            <w:r w:rsidR="00D07F11">
              <w:rPr>
                <w:rFonts w:ascii="Arial" w:hAnsi="Arial" w:cs="Arial"/>
                <w:color w:val="000000" w:themeColor="text1"/>
                <w:sz w:val="26"/>
                <w:szCs w:val="26"/>
              </w:rPr>
              <w:t>/</w:t>
            </w:r>
            <w:r w:rsidR="00D07F11" w:rsidRPr="00D07F11">
              <w:rPr>
                <w:rFonts w:ascii="Arial" w:hAnsi="Arial" w:cs="Arial"/>
                <w:color w:val="000000" w:themeColor="text1"/>
                <w:sz w:val="26"/>
                <w:szCs w:val="26"/>
              </w:rPr>
              <w:t>TCHQ-GSQL</w:t>
            </w:r>
            <w:r w:rsidR="0005544C" w:rsidRPr="00572345">
              <w:rPr>
                <w:rFonts w:ascii="Arial" w:hAnsi="Arial" w:cs="Arial"/>
                <w:color w:val="000000" w:themeColor="text1"/>
                <w:sz w:val="26"/>
                <w:szCs w:val="26"/>
              </w:rPr>
              <w:br/>
            </w:r>
            <w:r w:rsidR="0005544C" w:rsidRPr="00572345">
              <w:rPr>
                <w:rFonts w:ascii="Arial" w:hAnsi="Arial" w:cs="Arial"/>
                <w:b w:val="0"/>
                <w:i/>
                <w:color w:val="000000" w:themeColor="text1"/>
                <w:sz w:val="26"/>
                <w:szCs w:val="26"/>
              </w:rPr>
              <w:t>V/v</w:t>
            </w:r>
            <w:r w:rsidR="0005544C" w:rsidRPr="00572345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7F11" w:rsidRPr="00D07F11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>Hàng</w:t>
            </w:r>
            <w:proofErr w:type="spellEnd"/>
            <w:r w:rsidR="00D07F11" w:rsidRPr="00D07F11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spellStart"/>
            <w:r w:rsidR="00D07F11" w:rsidRPr="00D07F11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>hóa</w:t>
            </w:r>
            <w:proofErr w:type="spellEnd"/>
            <w:r w:rsidR="00D07F11" w:rsidRPr="00D07F11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 xml:space="preserve"> XNK </w:t>
            </w:r>
            <w:proofErr w:type="spellStart"/>
            <w:r w:rsidR="00D07F11" w:rsidRPr="00D07F11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>vận</w:t>
            </w:r>
            <w:proofErr w:type="spellEnd"/>
            <w:r w:rsidR="00D07F11" w:rsidRPr="00D07F11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spellStart"/>
            <w:r w:rsidR="00D07F11" w:rsidRPr="00D07F11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>chuyển</w:t>
            </w:r>
            <w:proofErr w:type="spellEnd"/>
            <w:r w:rsidR="00D07F11" w:rsidRPr="00D07F11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spellStart"/>
            <w:r w:rsidR="00D07F11" w:rsidRPr="00D07F11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>giữa</w:t>
            </w:r>
            <w:proofErr w:type="spellEnd"/>
            <w:r w:rsidR="00D07F11" w:rsidRPr="00D07F11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spellStart"/>
            <w:r w:rsidR="00D07F11" w:rsidRPr="00D07F11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>các</w:t>
            </w:r>
            <w:proofErr w:type="spellEnd"/>
            <w:r w:rsidR="00D07F11" w:rsidRPr="00D07F11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spellStart"/>
            <w:r w:rsidR="00D07F11" w:rsidRPr="00D07F11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>cảng</w:t>
            </w:r>
            <w:proofErr w:type="spellEnd"/>
            <w:r w:rsidR="00D07F11" w:rsidRPr="00D07F11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 xml:space="preserve"> container </w:t>
            </w:r>
            <w:proofErr w:type="spellStart"/>
            <w:r w:rsidR="00D07F11" w:rsidRPr="00D07F11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>trong</w:t>
            </w:r>
            <w:proofErr w:type="spellEnd"/>
            <w:r w:rsidR="00D07F11" w:rsidRPr="00D07F11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spellStart"/>
            <w:r w:rsidR="00D07F11" w:rsidRPr="00D07F11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>khu</w:t>
            </w:r>
            <w:proofErr w:type="spellEnd"/>
            <w:r w:rsidR="00D07F11" w:rsidRPr="00D07F11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spellStart"/>
            <w:r w:rsidR="00D07F11" w:rsidRPr="00D07F11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>vực</w:t>
            </w:r>
            <w:proofErr w:type="spellEnd"/>
            <w:r w:rsidR="00D07F11" w:rsidRPr="00D07F11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spellStart"/>
            <w:r w:rsidR="00D07F11" w:rsidRPr="00D07F11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>cụm</w:t>
            </w:r>
            <w:proofErr w:type="spellEnd"/>
            <w:r w:rsidR="00D07F11" w:rsidRPr="00D07F11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spellStart"/>
            <w:r w:rsidR="00D07F11" w:rsidRPr="00D07F11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>cảng</w:t>
            </w:r>
            <w:proofErr w:type="spellEnd"/>
            <w:r w:rsidR="00D07F11" w:rsidRPr="00D07F11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spellStart"/>
            <w:r w:rsidR="00D07F11" w:rsidRPr="00D07F11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>Cái</w:t>
            </w:r>
            <w:proofErr w:type="spellEnd"/>
            <w:r w:rsidR="00D07F11" w:rsidRPr="00D07F11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spellStart"/>
            <w:r w:rsidR="00D07F11" w:rsidRPr="00D07F11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>Mép</w:t>
            </w:r>
            <w:proofErr w:type="spellEnd"/>
            <w:r w:rsidR="00D07F11" w:rsidRPr="00D07F11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 xml:space="preserve"> – </w:t>
            </w:r>
            <w:proofErr w:type="spellStart"/>
            <w:r w:rsidR="00D07F11" w:rsidRPr="00D07F11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>Thị</w:t>
            </w:r>
            <w:proofErr w:type="spellEnd"/>
            <w:r w:rsidR="00D07F11" w:rsidRPr="00D07F11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spellStart"/>
            <w:r w:rsidR="00D07F11" w:rsidRPr="00D07F11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>Vải</w:t>
            </w:r>
            <w:proofErr w:type="spellEnd"/>
          </w:p>
        </w:tc>
        <w:tc>
          <w:tcPr>
            <w:tcW w:w="5355" w:type="dxa"/>
            <w:vAlign w:val="center"/>
            <w:hideMark/>
          </w:tcPr>
          <w:p w:rsidR="0005544C" w:rsidRPr="00572345" w:rsidRDefault="0005544C" w:rsidP="005723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</w:pPr>
            <w:proofErr w:type="spellStart"/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>H</w:t>
            </w:r>
            <w:r w:rsidR="00572345"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>à</w:t>
            </w:r>
            <w:proofErr w:type="spellEnd"/>
            <w:r w:rsidR="00572345"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72345"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>Nội</w:t>
            </w:r>
            <w:proofErr w:type="spellEnd"/>
            <w:r w:rsidR="00572345"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572345"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>ngày</w:t>
            </w:r>
            <w:proofErr w:type="spellEnd"/>
            <w:r w:rsidR="00572345"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 xml:space="preserve"> 07</w:t>
            </w:r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 xml:space="preserve"> 09 </w:t>
            </w:r>
            <w:proofErr w:type="spellStart"/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 xml:space="preserve"> 2021</w:t>
            </w:r>
          </w:p>
          <w:p w:rsidR="00F45EF3" w:rsidRPr="00572345" w:rsidRDefault="00F45EF3" w:rsidP="0057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</w:p>
        </w:tc>
      </w:tr>
    </w:tbl>
    <w:p w:rsidR="00F45EF3" w:rsidRPr="00572345" w:rsidRDefault="00F45EF3" w:rsidP="00572345">
      <w:pPr>
        <w:spacing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</w:pPr>
    </w:p>
    <w:p w:rsidR="00D07F11" w:rsidRDefault="00D07F11" w:rsidP="00D07F11">
      <w:pPr>
        <w:pStyle w:val="has-text-align-center"/>
        <w:shd w:val="clear" w:color="auto" w:fill="FFFFFF"/>
        <w:spacing w:before="0" w:beforeAutospacing="0"/>
        <w:jc w:val="center"/>
        <w:rPr>
          <w:rFonts w:ascii="Segoe UI" w:hAnsi="Segoe UI" w:cs="Segoe UI"/>
          <w:color w:val="212529"/>
          <w:spacing w:val="2"/>
          <w:sz w:val="27"/>
          <w:szCs w:val="27"/>
        </w:rPr>
      </w:pP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Kính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gửi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: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Cục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tỉnh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Bà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Rịa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–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Vũng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Tàu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>.</w:t>
      </w:r>
    </w:p>
    <w:p w:rsidR="00D07F11" w:rsidRDefault="00D07F11" w:rsidP="00D07F1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pacing w:val="2"/>
          <w:sz w:val="27"/>
          <w:szCs w:val="27"/>
        </w:rPr>
      </w:pPr>
      <w:proofErr w:type="spellStart"/>
      <w:proofErr w:type="gramStart"/>
      <w:r>
        <w:rPr>
          <w:rFonts w:ascii="Segoe UI" w:hAnsi="Segoe UI" w:cs="Segoe UI"/>
          <w:color w:val="212529"/>
          <w:spacing w:val="2"/>
          <w:sz w:val="27"/>
          <w:szCs w:val="27"/>
        </w:rPr>
        <w:t>Tổng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cục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nhận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được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văn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số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1207-2021/CV-HACT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ngày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28/7/2021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của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ty TNHH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vận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container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An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và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văn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số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89/2021/GML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ngày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23/8/2021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của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ty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cổ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phần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Mép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Gemadept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– Terminal Link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đề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nghị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hướng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dẫn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thủ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tục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đối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với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hóa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xuất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nhập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vận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chuyển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giữa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các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container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vực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cụm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Mép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–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Thị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(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TCIT,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Gemalink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SSIT, TCTT, CMIT)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thuộc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cùng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địa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bàn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do Chi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cục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cửa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Mép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quản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lý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phát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sinh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tình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trạng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bị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tắc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nghẽn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cầu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làm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thay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đổi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xếp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dỡ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>.</w:t>
      </w:r>
      <w:proofErr w:type="gramEnd"/>
    </w:p>
    <w:p w:rsidR="00D07F11" w:rsidRDefault="00D07F11" w:rsidP="00D07F1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pacing w:val="2"/>
          <w:sz w:val="27"/>
          <w:szCs w:val="27"/>
        </w:rPr>
      </w:pPr>
      <w:proofErr w:type="spellStart"/>
      <w:proofErr w:type="gramStart"/>
      <w:r>
        <w:rPr>
          <w:rFonts w:ascii="Segoe UI" w:hAnsi="Segoe UI" w:cs="Segoe UI"/>
          <w:color w:val="212529"/>
          <w:spacing w:val="2"/>
          <w:sz w:val="27"/>
          <w:szCs w:val="27"/>
        </w:rPr>
        <w:t>Căn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cứ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Luật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số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54/2014/QH13,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Nghị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định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số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08/2015/NĐ-CP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ngày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21/01/2015 (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được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sửa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đổi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bổ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sung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Nghị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định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số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59/2018/NĐ-CP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ngày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20/4/2018)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của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Chính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phủ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tư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số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38/2015/TT-BTC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ngày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25/3/2015 (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được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sửa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đổi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bổ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sung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tư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số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39/2018/TT-BTC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ngày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20/4/2018)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của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Bộ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trưởng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Bộ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Tài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chính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;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để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tháo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gỡ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khó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khăn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trong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hoạt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động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sản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xuất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kinh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doanh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của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doanh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nghiệp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và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đảm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bảo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gây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ách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tắc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hoạt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động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xuất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nhập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hóa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xuất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nhập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phương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tiện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vận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Tổng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cục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hướng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dẫn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thực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hiện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như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sau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>:</w:t>
      </w:r>
      <w:proofErr w:type="gramEnd"/>
    </w:p>
    <w:p w:rsidR="00D07F11" w:rsidRDefault="00D07F11" w:rsidP="00D07F1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pacing w:val="2"/>
          <w:sz w:val="27"/>
          <w:szCs w:val="27"/>
        </w:rPr>
      </w:pPr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1.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Về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thủ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tục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đối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với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hóa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xuất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nhập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vận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chuyển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giữa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các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cảng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container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trong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khu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vực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cụm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cảng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Cái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Mép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–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Thị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Vải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:</w:t>
      </w:r>
    </w:p>
    <w:p w:rsidR="00D07F11" w:rsidRDefault="00D07F11" w:rsidP="00D07F1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pacing w:val="2"/>
          <w:sz w:val="27"/>
          <w:szCs w:val="27"/>
        </w:rPr>
      </w:pPr>
      <w:r>
        <w:rPr>
          <w:rStyle w:val="Emphasis"/>
          <w:rFonts w:ascii="Segoe UI" w:hAnsi="Segoe UI" w:cs="Segoe UI"/>
          <w:b/>
          <w:bCs/>
          <w:color w:val="212529"/>
          <w:spacing w:val="2"/>
          <w:sz w:val="27"/>
          <w:szCs w:val="27"/>
        </w:rPr>
        <w:t xml:space="preserve">a) </w:t>
      </w:r>
      <w:proofErr w:type="spellStart"/>
      <w:r>
        <w:rPr>
          <w:rStyle w:val="Emphasis"/>
          <w:rFonts w:ascii="Segoe UI" w:hAnsi="Segoe UI" w:cs="Segoe UI"/>
          <w:b/>
          <w:bCs/>
          <w:color w:val="212529"/>
          <w:spacing w:val="2"/>
          <w:sz w:val="27"/>
          <w:szCs w:val="27"/>
        </w:rPr>
        <w:t>Đối</w:t>
      </w:r>
      <w:proofErr w:type="spellEnd"/>
      <w:r>
        <w:rPr>
          <w:rStyle w:val="Emphasis"/>
          <w:rFonts w:ascii="Segoe UI" w:hAnsi="Segoe UI" w:cs="Segoe UI"/>
          <w:b/>
          <w:bCs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Emphasis"/>
          <w:rFonts w:ascii="Segoe UI" w:hAnsi="Segoe UI" w:cs="Segoe UI"/>
          <w:b/>
          <w:bCs/>
          <w:color w:val="212529"/>
          <w:spacing w:val="2"/>
          <w:sz w:val="27"/>
          <w:szCs w:val="27"/>
        </w:rPr>
        <w:t>với</w:t>
      </w:r>
      <w:proofErr w:type="spellEnd"/>
      <w:r>
        <w:rPr>
          <w:rStyle w:val="Emphasis"/>
          <w:rFonts w:ascii="Segoe UI" w:hAnsi="Segoe UI" w:cs="Segoe UI"/>
          <w:b/>
          <w:bCs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Emphasis"/>
          <w:rFonts w:ascii="Segoe UI" w:hAnsi="Segoe UI" w:cs="Segoe UI"/>
          <w:b/>
          <w:bCs/>
          <w:color w:val="212529"/>
          <w:spacing w:val="2"/>
          <w:sz w:val="27"/>
          <w:szCs w:val="27"/>
        </w:rPr>
        <w:t>hàng</w:t>
      </w:r>
      <w:proofErr w:type="spellEnd"/>
      <w:r>
        <w:rPr>
          <w:rStyle w:val="Emphasis"/>
          <w:rFonts w:ascii="Segoe UI" w:hAnsi="Segoe UI" w:cs="Segoe UI"/>
          <w:b/>
          <w:bCs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Emphasis"/>
          <w:rFonts w:ascii="Segoe UI" w:hAnsi="Segoe UI" w:cs="Segoe UI"/>
          <w:b/>
          <w:bCs/>
          <w:color w:val="212529"/>
          <w:spacing w:val="2"/>
          <w:sz w:val="27"/>
          <w:szCs w:val="27"/>
        </w:rPr>
        <w:t>hóa</w:t>
      </w:r>
      <w:proofErr w:type="spellEnd"/>
      <w:r>
        <w:rPr>
          <w:rStyle w:val="Emphasis"/>
          <w:rFonts w:ascii="Segoe UI" w:hAnsi="Segoe UI" w:cs="Segoe UI"/>
          <w:b/>
          <w:bCs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Emphasis"/>
          <w:rFonts w:ascii="Segoe UI" w:hAnsi="Segoe UI" w:cs="Segoe UI"/>
          <w:b/>
          <w:bCs/>
          <w:color w:val="212529"/>
          <w:spacing w:val="2"/>
          <w:sz w:val="27"/>
          <w:szCs w:val="27"/>
        </w:rPr>
        <w:t>nhập</w:t>
      </w:r>
      <w:proofErr w:type="spellEnd"/>
      <w:r>
        <w:rPr>
          <w:rStyle w:val="Emphasis"/>
          <w:rFonts w:ascii="Segoe UI" w:hAnsi="Segoe UI" w:cs="Segoe UI"/>
          <w:b/>
          <w:bCs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Emphasis"/>
          <w:rFonts w:ascii="Segoe UI" w:hAnsi="Segoe UI" w:cs="Segoe UI"/>
          <w:b/>
          <w:bCs/>
          <w:color w:val="212529"/>
          <w:spacing w:val="2"/>
          <w:sz w:val="27"/>
          <w:szCs w:val="27"/>
        </w:rPr>
        <w:t>khẩu</w:t>
      </w:r>
      <w:proofErr w:type="spellEnd"/>
      <w:r>
        <w:rPr>
          <w:rStyle w:val="Emphasis"/>
          <w:rFonts w:ascii="Segoe UI" w:hAnsi="Segoe UI" w:cs="Segoe UI"/>
          <w:b/>
          <w:bCs/>
          <w:color w:val="212529"/>
          <w:spacing w:val="2"/>
          <w:sz w:val="27"/>
          <w:szCs w:val="27"/>
        </w:rPr>
        <w:t>:</w:t>
      </w:r>
    </w:p>
    <w:p w:rsidR="00D07F11" w:rsidRDefault="00D07F11" w:rsidP="00D07F1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pacing w:val="2"/>
          <w:sz w:val="27"/>
          <w:szCs w:val="27"/>
        </w:rPr>
      </w:pPr>
      <w:proofErr w:type="gramStart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– Chi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cục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cửa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Mép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trên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cơ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sở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văn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bản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đề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nghị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của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Hãng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tàu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hoặc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lý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hãng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tàu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hoặc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ty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giao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nhận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có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xác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nhận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của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doanh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nghiệp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kinh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doanh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(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nêu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rõ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về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tình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trạng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tắc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nghẽn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dẫn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đến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thể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bố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trí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cầu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bến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Tàu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cập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theo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đúng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lịch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trình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và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tin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lô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nhập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đề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nghị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phép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vận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chuyển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sang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khác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nằm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trong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vực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cụm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Mép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–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Thị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để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xếp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lên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tàu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vận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chuyển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tới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đích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)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lastRenderedPageBreak/>
        <w:t>để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quyết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định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phép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Hãng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tàu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hoặc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lý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hãng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tàu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hoặc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ty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giao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nhận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vận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chuyển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hóa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giữa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các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trong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vực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cụm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Mép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–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Thị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xếp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lên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tàu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vận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chuyển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tới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đích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>.</w:t>
      </w:r>
      <w:proofErr w:type="gramEnd"/>
    </w:p>
    <w:p w:rsidR="00D07F11" w:rsidRDefault="00D07F11" w:rsidP="00D07F1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pacing w:val="2"/>
          <w:sz w:val="27"/>
          <w:szCs w:val="27"/>
        </w:rPr>
      </w:pPr>
      <w:proofErr w:type="gramStart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– Chi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cục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cửa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Mép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sau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kiểm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tin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về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lô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nhập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đề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nghị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phép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vận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chuyển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nếu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hóa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đang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trong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danh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sách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theo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dõi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kiểm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của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cơ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chức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năng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hoặc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có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dấu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hiệu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nghi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vấn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vi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phạm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thì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hướng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dẫn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Hãng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tàu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hoặc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lý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hãng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tàu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hoặc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ty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giao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nhận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thực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hiện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thủ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tục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đối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với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lô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nhập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vận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chuyển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giữa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các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trong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vực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cụm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Mép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–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Thị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để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xếp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lên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tàu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vận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chuyển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tới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đích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theo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định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Điều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51b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tư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38/2015/TT-BTC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ngày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25/3/2015 (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được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bổ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sung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khoản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30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Điều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1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tư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39/2018/TT-BTC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ngày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20/4/2018)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của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Bộ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trưởng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Bộ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Tài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chính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>.</w:t>
      </w:r>
      <w:proofErr w:type="gramEnd"/>
    </w:p>
    <w:p w:rsidR="00D07F11" w:rsidRDefault="00D07F11" w:rsidP="00D07F1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pacing w:val="2"/>
          <w:sz w:val="27"/>
          <w:szCs w:val="27"/>
        </w:rPr>
      </w:pPr>
      <w:r>
        <w:rPr>
          <w:rStyle w:val="Strong"/>
          <w:rFonts w:ascii="Segoe UI" w:hAnsi="Segoe UI" w:cs="Segoe UI"/>
          <w:i/>
          <w:iCs/>
          <w:color w:val="212529"/>
          <w:spacing w:val="2"/>
          <w:sz w:val="27"/>
          <w:szCs w:val="27"/>
        </w:rPr>
        <w:t xml:space="preserve">b) </w:t>
      </w:r>
      <w:proofErr w:type="spellStart"/>
      <w:r>
        <w:rPr>
          <w:rStyle w:val="Strong"/>
          <w:rFonts w:ascii="Segoe UI" w:hAnsi="Segoe UI" w:cs="Segoe UI"/>
          <w:i/>
          <w:iCs/>
          <w:color w:val="212529"/>
          <w:spacing w:val="2"/>
          <w:sz w:val="27"/>
          <w:szCs w:val="27"/>
        </w:rPr>
        <w:t>Đối</w:t>
      </w:r>
      <w:proofErr w:type="spellEnd"/>
      <w:r>
        <w:rPr>
          <w:rStyle w:val="Strong"/>
          <w:rFonts w:ascii="Segoe UI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i/>
          <w:iCs/>
          <w:color w:val="212529"/>
          <w:spacing w:val="2"/>
          <w:sz w:val="27"/>
          <w:szCs w:val="27"/>
        </w:rPr>
        <w:t>với</w:t>
      </w:r>
      <w:proofErr w:type="spellEnd"/>
      <w:r>
        <w:rPr>
          <w:rStyle w:val="Strong"/>
          <w:rFonts w:ascii="Segoe UI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i/>
          <w:iCs/>
          <w:color w:val="212529"/>
          <w:spacing w:val="2"/>
          <w:sz w:val="27"/>
          <w:szCs w:val="27"/>
        </w:rPr>
        <w:t>hàng</w:t>
      </w:r>
      <w:proofErr w:type="spellEnd"/>
      <w:r>
        <w:rPr>
          <w:rStyle w:val="Strong"/>
          <w:rFonts w:ascii="Segoe UI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i/>
          <w:iCs/>
          <w:color w:val="212529"/>
          <w:spacing w:val="2"/>
          <w:sz w:val="27"/>
          <w:szCs w:val="27"/>
        </w:rPr>
        <w:t>hóa</w:t>
      </w:r>
      <w:proofErr w:type="spellEnd"/>
      <w:r>
        <w:rPr>
          <w:rStyle w:val="Strong"/>
          <w:rFonts w:ascii="Segoe UI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i/>
          <w:iCs/>
          <w:color w:val="212529"/>
          <w:spacing w:val="2"/>
          <w:sz w:val="27"/>
          <w:szCs w:val="27"/>
        </w:rPr>
        <w:t>xuất</w:t>
      </w:r>
      <w:proofErr w:type="spellEnd"/>
      <w:r>
        <w:rPr>
          <w:rStyle w:val="Strong"/>
          <w:rFonts w:ascii="Segoe UI" w:hAnsi="Segoe UI" w:cs="Segoe UI"/>
          <w:i/>
          <w:iCs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i/>
          <w:iCs/>
          <w:color w:val="212529"/>
          <w:spacing w:val="2"/>
          <w:sz w:val="27"/>
          <w:szCs w:val="27"/>
        </w:rPr>
        <w:t>khẩu</w:t>
      </w:r>
      <w:proofErr w:type="spellEnd"/>
      <w:r>
        <w:rPr>
          <w:rStyle w:val="Strong"/>
          <w:rFonts w:ascii="Segoe UI" w:hAnsi="Segoe UI" w:cs="Segoe UI"/>
          <w:i/>
          <w:iCs/>
          <w:color w:val="212529"/>
          <w:spacing w:val="2"/>
          <w:sz w:val="27"/>
          <w:szCs w:val="27"/>
        </w:rPr>
        <w:t>:</w:t>
      </w:r>
    </w:p>
    <w:p w:rsidR="00D07F11" w:rsidRDefault="00D07F11" w:rsidP="00D07F1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pacing w:val="2"/>
          <w:sz w:val="27"/>
          <w:szCs w:val="27"/>
        </w:rPr>
      </w:pPr>
      <w:proofErr w:type="spellStart"/>
      <w:proofErr w:type="gramStart"/>
      <w:r>
        <w:rPr>
          <w:rFonts w:ascii="Segoe UI" w:hAnsi="Segoe UI" w:cs="Segoe UI"/>
          <w:color w:val="212529"/>
          <w:spacing w:val="2"/>
          <w:sz w:val="27"/>
          <w:szCs w:val="27"/>
        </w:rPr>
        <w:t>Trường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hợp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hóa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xuất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đã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được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hóa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đã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đưa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vào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vực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giám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sát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cửa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nếu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người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khai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có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yêu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cầu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thay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đổi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xếp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thì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Chi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cục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cửa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Mép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hướng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dẫn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người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khai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thực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hiện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thủ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tục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theo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định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khoản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2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Điều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20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tư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38/2015/TT-BTC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ngày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25/3/2015 (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được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sửa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đổi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bổ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sung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khoản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9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Điều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1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tư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39/2018/TT-BTC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ngày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20/4/2018)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của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Bộ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trưởng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Bộ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Tài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chính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>.</w:t>
      </w:r>
      <w:proofErr w:type="gramEnd"/>
    </w:p>
    <w:p w:rsidR="00D07F11" w:rsidRDefault="00D07F11" w:rsidP="00D07F1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pacing w:val="2"/>
          <w:sz w:val="27"/>
          <w:szCs w:val="27"/>
        </w:rPr>
      </w:pPr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2.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Giám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sát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hóa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xuất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nhập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vận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chuyển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giữa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các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cảng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container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khu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vực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Cái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Mép</w:t>
      </w:r>
      <w:proofErr w:type="spellEnd"/>
      <w:r>
        <w:rPr>
          <w:rStyle w:val="Strong"/>
          <w:rFonts w:ascii="Segoe UI" w:hAnsi="Segoe UI" w:cs="Segoe UI"/>
          <w:color w:val="212529"/>
          <w:spacing w:val="2"/>
          <w:sz w:val="27"/>
          <w:szCs w:val="27"/>
        </w:rPr>
        <w:t>:</w:t>
      </w:r>
    </w:p>
    <w:p w:rsidR="00D07F11" w:rsidRDefault="00D07F11" w:rsidP="00D07F1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pacing w:val="2"/>
          <w:sz w:val="27"/>
          <w:szCs w:val="27"/>
        </w:rPr>
      </w:pPr>
      <w:proofErr w:type="spellStart"/>
      <w:proofErr w:type="gramStart"/>
      <w:r>
        <w:rPr>
          <w:rFonts w:ascii="Segoe UI" w:hAnsi="Segoe UI" w:cs="Segoe UI"/>
          <w:color w:val="212529"/>
          <w:spacing w:val="2"/>
          <w:sz w:val="27"/>
          <w:szCs w:val="27"/>
        </w:rPr>
        <w:t>Giao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Cục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tỉnh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Bà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Rịa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–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Vũng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Tàu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chỉ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đạo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Chi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cục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cửa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Mép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xây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dựng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cơ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chế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phối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hợp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cụ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thể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giữa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Chi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cục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cửa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Mép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với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doanh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nghiệp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kinh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doanh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container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vực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cụm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Mép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–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Thị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có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liên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để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xác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định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tình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trạng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tắc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nghẽn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đầu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mối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để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phối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hợp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thực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hiện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quyết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khó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khăn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phát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sinh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tắc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nghẽn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cầu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đảm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bảo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tác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quản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lý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giám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sát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hóa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xuất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nhập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đưa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vào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lưu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giữ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đưa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ra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vực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thuộc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cụm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Mép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–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Thị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được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thực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hiện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theo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đúng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định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Điều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50,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Điều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51b,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và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Điều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52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hoặc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Điều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52b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tư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38/2015/TT-BTC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ngày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25/3/2015 (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được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sửa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đổi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bổ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sung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Khoản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28,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Khoản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29,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Khoản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30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và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Khoản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32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tư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39/2018/TT-BTC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ngày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20/4/2018)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của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Bộ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trưởng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Bộ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Tài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chính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>.</w:t>
      </w:r>
      <w:proofErr w:type="gramEnd"/>
    </w:p>
    <w:p w:rsidR="00D07F11" w:rsidRDefault="00D07F11" w:rsidP="00D07F1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pacing w:val="2"/>
          <w:sz w:val="27"/>
          <w:szCs w:val="27"/>
        </w:rPr>
      </w:pP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lastRenderedPageBreak/>
        <w:t>Tổng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cục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có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ý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kiến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để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Cục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Bà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Rịa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–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Vũng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Tàu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biết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thực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hiện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>.</w:t>
      </w:r>
    </w:p>
    <w:tbl>
      <w:tblPr>
        <w:tblW w:w="97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5114"/>
      </w:tblGrid>
      <w:tr w:rsidR="0005544C" w:rsidRPr="00572345" w:rsidTr="0005544C">
        <w:trPr>
          <w:tblCellSpacing w:w="15" w:type="dxa"/>
        </w:trPr>
        <w:tc>
          <w:tcPr>
            <w:tcW w:w="4545" w:type="dxa"/>
            <w:vAlign w:val="center"/>
            <w:hideMark/>
          </w:tcPr>
          <w:p w:rsidR="00F45EF3" w:rsidRPr="00572345" w:rsidRDefault="0005544C" w:rsidP="0057234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572345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Nơi</w:t>
            </w:r>
            <w:proofErr w:type="spellEnd"/>
            <w:r w:rsidRPr="00572345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72345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572345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: </w:t>
            </w:r>
            <w:r w:rsidRPr="00572345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br/>
            </w:r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>Như</w:t>
            </w:r>
            <w:proofErr w:type="spellEnd"/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>trên</w:t>
            </w:r>
            <w:proofErr w:type="spellEnd"/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>;</w:t>
            </w:r>
            <w:r w:rsidRPr="00572345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:rsidR="00F45EF3" w:rsidRPr="00572345" w:rsidRDefault="00F45EF3" w:rsidP="0057234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</w:pPr>
            <w:r w:rsidRPr="00572345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Công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ty TNHH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vận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tải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container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Hải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An,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địa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chỉ:Trụ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sở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tầng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5,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Tòa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nhà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Hải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An, Km 2,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đường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Đình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Vũ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, P.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Đông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Hải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2,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Quận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Hải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An, TP.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Hải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Phòng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thay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trả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lời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)</w:t>
            </w:r>
            <w:r w:rsidRPr="00572345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;</w:t>
            </w:r>
          </w:p>
          <w:p w:rsidR="00572345" w:rsidRPr="00572345" w:rsidRDefault="00F45EF3" w:rsidP="0057234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</w:pPr>
            <w:r w:rsidRPr="00572345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Công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ty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Cổ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Phần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Cảng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Cái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Mép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Gemadept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– Terminal Link,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địa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chỉ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Ấp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Tân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lộc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Phường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Phước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Hòa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Thị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Xã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Phú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Mỹ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Tỉnh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Bà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Rịa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Vũng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Tàu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tahy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trả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lời</w:t>
            </w:r>
            <w:proofErr w:type="spellEnd"/>
            <w:r w:rsidR="00D07F11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)</w:t>
            </w:r>
          </w:p>
          <w:p w:rsidR="0005544C" w:rsidRPr="00572345" w:rsidRDefault="0005544C" w:rsidP="0057234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>Lưu</w:t>
            </w:r>
            <w:proofErr w:type="spellEnd"/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 xml:space="preserve">: VT, </w:t>
            </w:r>
            <w:r w:rsidR="00572345"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>TXNK</w:t>
            </w:r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 xml:space="preserve"> (3b).</w:t>
            </w:r>
            <w:r w:rsidRPr="00572345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4073CF" w:rsidRDefault="00D07F11" w:rsidP="00407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KT</w:t>
            </w:r>
            <w:r w:rsidR="0005544C"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. TỔNG CỤC TRƯỞNG</w:t>
            </w:r>
          </w:p>
          <w:p w:rsidR="0005544C" w:rsidRPr="00572345" w:rsidRDefault="00F45EF3" w:rsidP="00D0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 xml:space="preserve">PHÓ </w:t>
            </w:r>
            <w:r w:rsidR="00D07F11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 xml:space="preserve">TỔNG </w:t>
            </w:r>
            <w:r w:rsidR="0005544C"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 xml:space="preserve">CỤC TRƯỞNG </w:t>
            </w:r>
            <w:r w:rsidR="0005544C" w:rsidRPr="00572345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br/>
            </w:r>
            <w:r w:rsidR="0005544C"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br/>
            </w:r>
            <w:r w:rsidR="0005544C"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br/>
            </w:r>
            <w:r w:rsidR="0005544C"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br/>
            </w:r>
            <w:r w:rsidR="00D07F11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 xml:space="preserve">Mai </w:t>
            </w:r>
            <w:proofErr w:type="spellStart"/>
            <w:r w:rsidR="00D07F11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Xuân</w:t>
            </w:r>
            <w:proofErr w:type="spellEnd"/>
            <w:r w:rsidR="00D07F11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7F11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Thành</w:t>
            </w:r>
            <w:proofErr w:type="spellEnd"/>
          </w:p>
        </w:tc>
      </w:tr>
      <w:bookmarkEnd w:id="0"/>
    </w:tbl>
    <w:p w:rsidR="00893AAC" w:rsidRPr="00572345" w:rsidRDefault="00893AAC" w:rsidP="00572345">
      <w:pPr>
        <w:rPr>
          <w:rFonts w:ascii="Arial" w:hAnsi="Arial" w:cs="Arial"/>
          <w:color w:val="000000" w:themeColor="text1"/>
          <w:sz w:val="26"/>
          <w:szCs w:val="26"/>
        </w:rPr>
      </w:pPr>
    </w:p>
    <w:sectPr w:rsidR="00893AAC" w:rsidRPr="00572345" w:rsidSect="00572345">
      <w:headerReference w:type="default" r:id="rId6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F00" w:rsidRDefault="00003F00" w:rsidP="006C397C">
      <w:pPr>
        <w:spacing w:after="0" w:line="240" w:lineRule="auto"/>
      </w:pPr>
      <w:r>
        <w:separator/>
      </w:r>
    </w:p>
  </w:endnote>
  <w:endnote w:type="continuationSeparator" w:id="0">
    <w:p w:rsidR="00003F00" w:rsidRDefault="00003F00" w:rsidP="006C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F00" w:rsidRDefault="00003F00" w:rsidP="006C397C">
      <w:pPr>
        <w:spacing w:after="0" w:line="240" w:lineRule="auto"/>
      </w:pPr>
      <w:r>
        <w:separator/>
      </w:r>
    </w:p>
  </w:footnote>
  <w:footnote w:type="continuationSeparator" w:id="0">
    <w:p w:rsidR="00003F00" w:rsidRDefault="00003F00" w:rsidP="006C3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7C" w:rsidRPr="006C397C" w:rsidRDefault="006C397C" w:rsidP="006C39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-304800</wp:posOffset>
          </wp:positionV>
          <wp:extent cx="5943600" cy="447675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nga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8A"/>
    <w:rsid w:val="00003F00"/>
    <w:rsid w:val="0005544C"/>
    <w:rsid w:val="000D25A0"/>
    <w:rsid w:val="000F1E7D"/>
    <w:rsid w:val="00323FE0"/>
    <w:rsid w:val="004073CF"/>
    <w:rsid w:val="004214BF"/>
    <w:rsid w:val="00572345"/>
    <w:rsid w:val="006350C5"/>
    <w:rsid w:val="006C397C"/>
    <w:rsid w:val="00706B35"/>
    <w:rsid w:val="0081348A"/>
    <w:rsid w:val="00893AAC"/>
    <w:rsid w:val="008E1AA7"/>
    <w:rsid w:val="0097293D"/>
    <w:rsid w:val="00A553D2"/>
    <w:rsid w:val="00D07F11"/>
    <w:rsid w:val="00F0537D"/>
    <w:rsid w:val="00F4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973F0"/>
  <w15:chartTrackingRefBased/>
  <w15:docId w15:val="{CAD9F8E4-F26A-45AF-B97F-A22010D4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3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348A"/>
    <w:rPr>
      <w:b/>
      <w:bCs/>
    </w:rPr>
  </w:style>
  <w:style w:type="character" w:styleId="Emphasis">
    <w:name w:val="Emphasis"/>
    <w:basedOn w:val="DefaultParagraphFont"/>
    <w:uiPriority w:val="20"/>
    <w:qFormat/>
    <w:rsid w:val="0081348A"/>
    <w:rPr>
      <w:i/>
      <w:iCs/>
    </w:rPr>
  </w:style>
  <w:style w:type="paragraph" w:customStyle="1" w:styleId="has-text-align-center">
    <w:name w:val="has-text-align-center"/>
    <w:basedOn w:val="Normal"/>
    <w:rsid w:val="0081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348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34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C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7C"/>
  </w:style>
  <w:style w:type="paragraph" w:styleId="Footer">
    <w:name w:val="footer"/>
    <w:basedOn w:val="Normal"/>
    <w:link w:val="FooterChar"/>
    <w:uiPriority w:val="99"/>
    <w:unhideWhenUsed/>
    <w:rsid w:val="006C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7C"/>
  </w:style>
  <w:style w:type="paragraph" w:styleId="ListParagraph">
    <w:name w:val="List Paragraph"/>
    <w:basedOn w:val="Normal"/>
    <w:uiPriority w:val="34"/>
    <w:qFormat/>
    <w:rsid w:val="00F45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11</cp:revision>
  <dcterms:created xsi:type="dcterms:W3CDTF">2021-09-03T08:39:00Z</dcterms:created>
  <dcterms:modified xsi:type="dcterms:W3CDTF">2021-09-09T10:49:00Z</dcterms:modified>
</cp:coreProperties>
</file>