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5670"/>
      </w:tblGrid>
      <w:tr w:rsidR="0081348A" w:rsidRPr="0081348A" w:rsidTr="0081348A">
        <w:trPr>
          <w:tblCellSpacing w:w="15" w:type="dxa"/>
        </w:trPr>
        <w:tc>
          <w:tcPr>
            <w:tcW w:w="4095" w:type="dxa"/>
            <w:vAlign w:val="center"/>
            <w:hideMark/>
          </w:tcPr>
          <w:p w:rsidR="0081348A" w:rsidRPr="0081348A" w:rsidRDefault="0081348A" w:rsidP="008E1AA7">
            <w:pPr>
              <w:pStyle w:val="Heading1"/>
              <w:shd w:val="clear" w:color="auto" w:fill="FFFFFF"/>
              <w:spacing w:before="0" w:beforeAutospacing="0"/>
              <w:jc w:val="center"/>
              <w:rPr>
                <w:rFonts w:ascii="Segoe UI" w:hAnsi="Segoe UI" w:cs="Segoe UI"/>
                <w:b w:val="0"/>
                <w:bCs w:val="0"/>
                <w:color w:val="212529"/>
                <w:sz w:val="24"/>
                <w:szCs w:val="24"/>
              </w:rPr>
            </w:pPr>
            <w:r w:rsidRPr="0081348A">
              <w:rPr>
                <w:b w:val="0"/>
                <w:sz w:val="24"/>
                <w:szCs w:val="24"/>
              </w:rPr>
              <w:t>BỘ TÀI CHÍNH</w:t>
            </w:r>
            <w:r w:rsidRPr="0081348A">
              <w:rPr>
                <w:sz w:val="24"/>
                <w:szCs w:val="24"/>
              </w:rPr>
              <w:br/>
              <w:t>TỔNG CỤC HẢI QUAN</w:t>
            </w:r>
            <w:r w:rsidRPr="0081348A">
              <w:rPr>
                <w:sz w:val="24"/>
                <w:szCs w:val="24"/>
              </w:rPr>
              <w:br/>
            </w:r>
            <w:r w:rsidRPr="0081348A">
              <w:rPr>
                <w:sz w:val="24"/>
                <w:szCs w:val="24"/>
                <w:vertAlign w:val="superscript"/>
              </w:rPr>
              <w:t>__________</w:t>
            </w:r>
            <w:r w:rsidRPr="0081348A">
              <w:rPr>
                <w:sz w:val="24"/>
                <w:szCs w:val="24"/>
              </w:rPr>
              <w:t xml:space="preserve"> </w:t>
            </w:r>
            <w:r w:rsidRPr="0081348A">
              <w:rPr>
                <w:sz w:val="24"/>
                <w:szCs w:val="24"/>
              </w:rPr>
              <w:br/>
            </w:r>
            <w:proofErr w:type="spellStart"/>
            <w:r w:rsidRPr="0081348A">
              <w:rPr>
                <w:sz w:val="24"/>
                <w:szCs w:val="24"/>
              </w:rPr>
              <w:t>Số</w:t>
            </w:r>
            <w:proofErr w:type="spellEnd"/>
            <w:r w:rsidRPr="0081348A">
              <w:rPr>
                <w:sz w:val="24"/>
                <w:szCs w:val="24"/>
              </w:rPr>
              <w:t xml:space="preserve">: </w:t>
            </w:r>
            <w:r w:rsidRPr="0081348A">
              <w:rPr>
                <w:rStyle w:val="Strong"/>
                <w:rFonts w:ascii="Arial" w:hAnsi="Arial" w:cs="Arial"/>
                <w:b/>
                <w:color w:val="212529"/>
                <w:spacing w:val="2"/>
                <w:sz w:val="24"/>
                <w:szCs w:val="24"/>
                <w:shd w:val="clear" w:color="auto" w:fill="FFFFFF"/>
              </w:rPr>
              <w:t>4281/TCHQ-GSQL</w:t>
            </w:r>
            <w:r w:rsidRPr="0081348A">
              <w:rPr>
                <w:sz w:val="24"/>
                <w:szCs w:val="24"/>
              </w:rPr>
              <w:br/>
            </w:r>
            <w:r w:rsidRPr="0081348A">
              <w:rPr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Giám</w:t>
            </w:r>
            <w:proofErr w:type="spellEnd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sát</w:t>
            </w:r>
            <w:proofErr w:type="spellEnd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hải</w:t>
            </w:r>
            <w:proofErr w:type="spellEnd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quan</w:t>
            </w:r>
            <w:proofErr w:type="spellEnd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đối</w:t>
            </w:r>
            <w:proofErr w:type="spellEnd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với</w:t>
            </w:r>
            <w:proofErr w:type="spellEnd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hàng</w:t>
            </w:r>
            <w:proofErr w:type="spellEnd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hóa</w:t>
            </w:r>
            <w:proofErr w:type="spellEnd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quá</w:t>
            </w:r>
            <w:proofErr w:type="spellEnd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cảnh</w:t>
            </w:r>
            <w:proofErr w:type="spellEnd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có</w:t>
            </w:r>
            <w:proofErr w:type="spellEnd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thực</w:t>
            </w:r>
            <w:proofErr w:type="spellEnd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hiện</w:t>
            </w:r>
            <w:proofErr w:type="spellEnd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đóng</w:t>
            </w:r>
            <w:proofErr w:type="spellEnd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Arial" w:hAnsi="Arial" w:cs="Arial"/>
                <w:b w:val="0"/>
                <w:bCs w:val="0"/>
                <w:color w:val="212529"/>
                <w:sz w:val="24"/>
                <w:szCs w:val="24"/>
              </w:rPr>
              <w:t>hàng</w:t>
            </w:r>
            <w:proofErr w:type="spellEnd"/>
          </w:p>
          <w:p w:rsidR="0081348A" w:rsidRPr="0081348A" w:rsidRDefault="0081348A" w:rsidP="0081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vAlign w:val="center"/>
            <w:hideMark/>
          </w:tcPr>
          <w:p w:rsidR="0081348A" w:rsidRPr="0081348A" w:rsidRDefault="0081348A" w:rsidP="0081348A">
            <w:pPr>
              <w:spacing w:after="0" w:line="240" w:lineRule="auto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___________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à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01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09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2021</w:t>
            </w:r>
          </w:p>
        </w:tc>
        <w:bookmarkStart w:id="0" w:name="_GoBack"/>
        <w:bookmarkEnd w:id="0"/>
      </w:tr>
    </w:tbl>
    <w:p w:rsidR="0081348A" w:rsidRDefault="0081348A" w:rsidP="0081348A">
      <w:pPr>
        <w:pStyle w:val="has-text-align-center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Kính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gửi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: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tỉnh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Tây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Ninh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.</w:t>
      </w:r>
    </w:p>
    <w:p w:rsidR="0081348A" w:rsidRDefault="0081348A" w:rsidP="0081348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Trả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lời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văn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1350/HQTN-NV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16/7/2021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tỉnh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Tây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Ninh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vướng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mắc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tác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quá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hiên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lưu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chia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tách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thay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đổi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phương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thức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Tổng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có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ý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kiến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sau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:</w:t>
      </w:r>
    </w:p>
    <w:p w:rsidR="0081348A" w:rsidRDefault="0081348A" w:rsidP="0081348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1.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thay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đổi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phương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thức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đóng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ghép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chia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tách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quá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:</w:t>
      </w:r>
    </w:p>
    <w:p w:rsidR="0081348A" w:rsidRDefault="0081348A" w:rsidP="0081348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spellStart"/>
      <w:proofErr w:type="gramStart"/>
      <w:r>
        <w:rPr>
          <w:rFonts w:ascii="Segoe UI" w:hAnsi="Segoe UI" w:cs="Segoe UI"/>
          <w:color w:val="212529"/>
          <w:spacing w:val="2"/>
          <w:sz w:val="27"/>
          <w:szCs w:val="27"/>
        </w:rPr>
        <w:t>Căn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cứ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9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19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43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08/2015/NĐ-CP,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đổi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bổ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sung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11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1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59/2018/NĐ-CP,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cứ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Quyết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3353/QĐ-TCHQ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30/10/2015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Tổng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việc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ở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biên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quốc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tế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thuộc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sở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hữu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ty TNHH MTV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Đồng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Phước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thì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ty TNHH MTV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Đồng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Phước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thuộc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hoạt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động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: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lưu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thay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đổi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phương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thức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phương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; chia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tách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đóng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container.</w:t>
      </w:r>
      <w:proofErr w:type="gramEnd"/>
    </w:p>
    <w:p w:rsidR="0081348A" w:rsidRDefault="0081348A" w:rsidP="0081348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2.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tác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lưu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giữ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ở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biên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:</w:t>
      </w:r>
    </w:p>
    <w:p w:rsidR="0081348A" w:rsidRDefault="0081348A" w:rsidP="0081348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gramStart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–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: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Việc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lưu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giữ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ở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biên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đã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có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Hệ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thống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xử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lý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dữ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liệu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tử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theo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52a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5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52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38/2015/TT-BTC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đổi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31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1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39/2018/TT-BTC.</w:t>
      </w:r>
      <w:proofErr w:type="gramEnd"/>
    </w:p>
    <w:p w:rsidR="0081348A" w:rsidRDefault="0081348A" w:rsidP="0081348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gramStart"/>
      <w:r>
        <w:rPr>
          <w:rFonts w:ascii="Segoe UI" w:hAnsi="Segoe UI" w:cs="Segoe UI"/>
          <w:color w:val="212529"/>
          <w:spacing w:val="2"/>
          <w:sz w:val="27"/>
          <w:szCs w:val="27"/>
        </w:rPr>
        <w:lastRenderedPageBreak/>
        <w:t xml:space="preserve">–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lưu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giữ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ở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biên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chưa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Hệ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thống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xử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lý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dữ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liệu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tử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: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Việc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theo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52c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39/2018/TT-BTC.</w:t>
      </w:r>
      <w:proofErr w:type="gramEnd"/>
    </w:p>
    <w:p w:rsidR="0081348A" w:rsidRDefault="0081348A" w:rsidP="0081348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spellStart"/>
      <w:proofErr w:type="gramStart"/>
      <w:r>
        <w:rPr>
          <w:rFonts w:ascii="Segoe UI" w:hAnsi="Segoe UI" w:cs="Segoe UI"/>
          <w:color w:val="212529"/>
          <w:spacing w:val="2"/>
          <w:sz w:val="27"/>
          <w:szCs w:val="27"/>
        </w:rPr>
        <w:t>Tuy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nhiên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các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ở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biên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đã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cấp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mã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Hệ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thống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tự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động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(VASSCM)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nhưng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gặp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vướng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mắc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trong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việc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cung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cấp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tin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giữa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Hệ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thống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Doanh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nghiệp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Hệ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thống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cơ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thì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tỉnh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Tây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Ninh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theo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nội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dung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hướng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dẫn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a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1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văn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119/TCHQ-GSQL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ngày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11/01/2021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trình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thủ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ban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kèm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theo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Quyết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1966/QĐ-TCHQ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Tổng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.</w:t>
      </w:r>
      <w:proofErr w:type="gramEnd"/>
    </w:p>
    <w:p w:rsidR="0081348A" w:rsidRDefault="0081348A" w:rsidP="0081348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3.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việc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khai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báo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mã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trên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tờ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khai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độc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:</w:t>
      </w:r>
    </w:p>
    <w:p w:rsidR="0081348A" w:rsidRDefault="0081348A" w:rsidP="0081348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spellStart"/>
      <w:proofErr w:type="gramStart"/>
      <w:r>
        <w:rPr>
          <w:rFonts w:ascii="Segoe UI" w:hAnsi="Segoe UI" w:cs="Segoe UI"/>
          <w:color w:val="212529"/>
          <w:spacing w:val="2"/>
          <w:sz w:val="27"/>
          <w:szCs w:val="27"/>
        </w:rPr>
        <w:t>Căn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cứ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hướng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dẫn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Phụ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II ban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kèm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theo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38/2015/TT-BTC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đổi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bổ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sung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Phụ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I ban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kèm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theo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39/2018/TT-BTC,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trường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hợp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ty TNHH TM-DV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Tiến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Ân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thủ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quá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từ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xếp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đến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ty TNHH MTV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Đồng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Phước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để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đóng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container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đến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thì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tỉnh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Tây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Ninh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hướng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dẫn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người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khai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khai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báo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mã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xếp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mã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xếp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tương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ứng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mã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mã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ty TNHH MTV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Đồng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Phước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khai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báo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tờ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khai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độc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.</w:t>
      </w:r>
      <w:proofErr w:type="gramEnd"/>
    </w:p>
    <w:p w:rsidR="0081348A" w:rsidRDefault="0081348A" w:rsidP="0081348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4.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thủ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từ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trung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:</w:t>
      </w:r>
    </w:p>
    <w:p w:rsidR="0081348A" w:rsidRDefault="0081348A" w:rsidP="0081348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spellStart"/>
      <w:proofErr w:type="gramStart"/>
      <w:r>
        <w:rPr>
          <w:rFonts w:ascii="Segoe UI" w:hAnsi="Segoe UI" w:cs="Segoe UI"/>
          <w:color w:val="212529"/>
          <w:spacing w:val="2"/>
          <w:sz w:val="27"/>
          <w:szCs w:val="27"/>
        </w:rPr>
        <w:t>Căn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cứ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50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38/2015/TT-BTC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đổi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bổ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sung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Khoản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18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1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39/2018/TT-BTC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Bộ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Tài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chính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thì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trường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hợp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ty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Tiến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Ân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là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quá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Việt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Nam qua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sau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đó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đến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ty TNHH MTV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Đồng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Phước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trong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cùng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để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việc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đóng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sau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đó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đến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xuất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tỉnh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Tây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Ninh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chỉ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đạo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Chi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CK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sử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lastRenderedPageBreak/>
        <w:t>dụng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Biên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bàn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giao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để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tác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quá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từ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đến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ty TNHH MTV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Đồng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Phước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Việc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niêm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phong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theo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Điều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50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38/2015/TT-BTC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được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đổi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bổ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sung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tư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số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39/2018/TT-BTC.</w:t>
      </w:r>
      <w:proofErr w:type="gram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trong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quá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trình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đóng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vào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container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giám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sát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ty TNHH MTV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Đồng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Phước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.</w:t>
      </w:r>
    </w:p>
    <w:p w:rsidR="0081348A" w:rsidRDefault="0081348A" w:rsidP="0081348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gramStart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5.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Để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thống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nhất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trong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tác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quản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lý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đối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với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phương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chở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quá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đề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nghị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tỉnh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Tây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Ninh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hướng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dẫn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doanh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nghiệp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khai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báo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tại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chỉ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tiêu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“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Ghi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chú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”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trên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tờ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khai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độc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lập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tin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thể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phương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Campuchia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vận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chuyển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hàng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hóa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quá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cảnh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từ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cửa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khẩu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Xa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Mát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đến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địa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kiểm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tập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trung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của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Công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ty TNHH MTV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Đồng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Phước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.</w:t>
      </w:r>
      <w:proofErr w:type="gramEnd"/>
    </w:p>
    <w:p w:rsidR="0081348A" w:rsidRDefault="0081348A" w:rsidP="0081348A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  <w:spacing w:val="2"/>
          <w:sz w:val="27"/>
          <w:szCs w:val="27"/>
        </w:rPr>
      </w:pP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Tổng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có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ý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kiến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để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Cục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Hải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quan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tỉnh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Tây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Ninh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biết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thực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12529"/>
          <w:spacing w:val="2"/>
          <w:sz w:val="27"/>
          <w:szCs w:val="27"/>
        </w:rPr>
        <w:t>hiện</w:t>
      </w:r>
      <w:proofErr w:type="spellEnd"/>
      <w:r>
        <w:rPr>
          <w:rFonts w:ascii="Segoe UI" w:hAnsi="Segoe UI" w:cs="Segoe UI"/>
          <w:color w:val="212529"/>
          <w:spacing w:val="2"/>
          <w:sz w:val="27"/>
          <w:szCs w:val="27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1348A" w:rsidRPr="0081348A" w:rsidTr="0081348A">
        <w:trPr>
          <w:tblCellSpacing w:w="15" w:type="dxa"/>
        </w:trPr>
        <w:tc>
          <w:tcPr>
            <w:tcW w:w="4635" w:type="dxa"/>
            <w:vAlign w:val="center"/>
            <w:hideMark/>
          </w:tcPr>
          <w:p w:rsidR="0081348A" w:rsidRDefault="0081348A" w:rsidP="0081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8134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1348A" w:rsidRPr="0081348A" w:rsidRDefault="0081348A" w:rsidP="0081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PTCT Mai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VT,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GSQL 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t>03b).</w:t>
            </w:r>
          </w:p>
        </w:tc>
        <w:tc>
          <w:tcPr>
            <w:tcW w:w="4635" w:type="dxa"/>
            <w:vAlign w:val="center"/>
            <w:hideMark/>
          </w:tcPr>
          <w:p w:rsidR="0081348A" w:rsidRPr="0081348A" w:rsidRDefault="0081348A" w:rsidP="0081348A">
            <w:pPr>
              <w:spacing w:after="0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</w:t>
            </w:r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TỔNG CỤC TRƯỞNG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CỤC TRƯỞNG CỤC GSQL VỀ HẢI QUAN</w:t>
            </w:r>
            <w:r w:rsidRPr="0081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3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Tuấn</w:t>
            </w:r>
            <w:proofErr w:type="spellEnd"/>
          </w:p>
        </w:tc>
      </w:tr>
    </w:tbl>
    <w:p w:rsidR="00893AAC" w:rsidRDefault="00893AAC"/>
    <w:sectPr w:rsidR="00893A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C5" w:rsidRDefault="006350C5" w:rsidP="006C397C">
      <w:pPr>
        <w:spacing w:after="0" w:line="240" w:lineRule="auto"/>
      </w:pPr>
      <w:r>
        <w:separator/>
      </w:r>
    </w:p>
  </w:endnote>
  <w:endnote w:type="continuationSeparator" w:id="0">
    <w:p w:rsidR="006350C5" w:rsidRDefault="006350C5" w:rsidP="006C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C5" w:rsidRDefault="006350C5" w:rsidP="006C397C">
      <w:pPr>
        <w:spacing w:after="0" w:line="240" w:lineRule="auto"/>
      </w:pPr>
      <w:r>
        <w:separator/>
      </w:r>
    </w:p>
  </w:footnote>
  <w:footnote w:type="continuationSeparator" w:id="0">
    <w:p w:rsidR="006350C5" w:rsidRDefault="006350C5" w:rsidP="006C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7C" w:rsidRPr="006C397C" w:rsidRDefault="006C397C" w:rsidP="006C39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-304800</wp:posOffset>
          </wp:positionV>
          <wp:extent cx="5943600" cy="4476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ng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8A"/>
    <w:rsid w:val="006350C5"/>
    <w:rsid w:val="006C397C"/>
    <w:rsid w:val="0081348A"/>
    <w:rsid w:val="00893AAC"/>
    <w:rsid w:val="008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DADF5"/>
  <w15:chartTrackingRefBased/>
  <w15:docId w15:val="{CAD9F8E4-F26A-45AF-B97F-A22010D4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48A"/>
    <w:rPr>
      <w:b/>
      <w:bCs/>
    </w:rPr>
  </w:style>
  <w:style w:type="character" w:styleId="Emphasis">
    <w:name w:val="Emphasis"/>
    <w:basedOn w:val="DefaultParagraphFont"/>
    <w:uiPriority w:val="20"/>
    <w:qFormat/>
    <w:rsid w:val="0081348A"/>
    <w:rPr>
      <w:i/>
      <w:iCs/>
    </w:rPr>
  </w:style>
  <w:style w:type="paragraph" w:customStyle="1" w:styleId="has-text-align-center">
    <w:name w:val="has-text-align-center"/>
    <w:basedOn w:val="Normal"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34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3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7C"/>
  </w:style>
  <w:style w:type="paragraph" w:styleId="Footer">
    <w:name w:val="footer"/>
    <w:basedOn w:val="Normal"/>
    <w:link w:val="FooterChar"/>
    <w:uiPriority w:val="99"/>
    <w:unhideWhenUsed/>
    <w:rsid w:val="006C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3</cp:revision>
  <dcterms:created xsi:type="dcterms:W3CDTF">2021-09-03T08:39:00Z</dcterms:created>
  <dcterms:modified xsi:type="dcterms:W3CDTF">2021-09-03T08:48:00Z</dcterms:modified>
</cp:coreProperties>
</file>