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8"/>
        <w:gridCol w:w="5222"/>
      </w:tblGrid>
      <w:tr w:rsidR="00E27A93" w:rsidRPr="00E27A93" w:rsidTr="00E27A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A93" w:rsidRPr="00E27A93" w:rsidRDefault="00E27A93" w:rsidP="00E2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BỘ TÀI CHÍNH</w:t>
            </w:r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CỤC HẢI QUAN</w:t>
            </w:r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</w:t>
            </w:r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4199/TCHQ-TXNK</w:t>
            </w:r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V/v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khẩu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văn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DNCX</w:t>
            </w:r>
          </w:p>
        </w:tc>
        <w:tc>
          <w:tcPr>
            <w:tcW w:w="5177" w:type="dxa"/>
            <w:vAlign w:val="center"/>
            <w:hideMark/>
          </w:tcPr>
          <w:p w:rsidR="00E27A93" w:rsidRPr="00E27A93" w:rsidRDefault="00E27A93" w:rsidP="00E2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 _______________</w:t>
            </w:r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</w:tbl>
    <w:bookmarkEnd w:id="0"/>
    <w:p w:rsidR="00E27A93" w:rsidRPr="00E27A93" w:rsidRDefault="00E27A93" w:rsidP="00E27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7A93" w:rsidRPr="00E27A93" w:rsidRDefault="00E27A93" w:rsidP="00E2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qua,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phản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ánh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vướng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mắc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thầu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xưởng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, văn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lắp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đặt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thầu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phi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7A93" w:rsidRPr="00E27A93" w:rsidRDefault="00E27A93" w:rsidP="00E2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</w:p>
    <w:p w:rsidR="00E27A93" w:rsidRPr="00E27A93" w:rsidRDefault="00E27A93" w:rsidP="00E2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107/2016/QH13,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134/2016/NĐ-CP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01/9/2016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7A93" w:rsidRPr="00E27A93" w:rsidRDefault="00E27A93" w:rsidP="00E2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27A93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thầu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gói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thầu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thầu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thầu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phi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))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xưởng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, văn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lắp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đặt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thầu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phi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27A93" w:rsidRPr="00E27A93" w:rsidRDefault="00E27A93" w:rsidP="00E2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GTGT</w:t>
      </w:r>
    </w:p>
    <w:p w:rsidR="00E27A93" w:rsidRPr="00E27A93" w:rsidRDefault="00E27A93" w:rsidP="00E2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GTGT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13/2008/QH12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GTGT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hoá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7A93" w:rsidRPr="00E27A93" w:rsidRDefault="00E27A93" w:rsidP="00E2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GTGT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13/2008/QH12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GTGT,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trừ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proofErr w:type="gram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7A93" w:rsidRPr="00E27A93" w:rsidRDefault="00E27A93" w:rsidP="00E2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GTGT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13/2008/QH12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GTGT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GTGT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GTGT.</w:t>
      </w:r>
    </w:p>
    <w:p w:rsidR="00E27A93" w:rsidRPr="00E27A93" w:rsidRDefault="00E27A93" w:rsidP="00E2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thầu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GTGT </w:t>
      </w:r>
      <w:proofErr w:type="spellStart"/>
      <w:proofErr w:type="gramStart"/>
      <w:r w:rsidRPr="00E27A93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7A93" w:rsidRPr="00E27A93" w:rsidRDefault="00E27A93" w:rsidP="00E2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27A93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rà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soát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thầu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gói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thầu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thầu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lastRenderedPageBreak/>
        <w:t>chính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thầu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phi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))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xưởng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, văn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lắp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đặt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phi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khâu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truy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7A93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7A93" w:rsidRPr="00E27A93" w:rsidRDefault="00E27A93" w:rsidP="00E2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rà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soát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fax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7A93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02439.440.630),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15/9/2021.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mềm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7A93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>: hoadtt@customs.gov.vn.</w:t>
      </w:r>
    </w:p>
    <w:p w:rsidR="00E27A93" w:rsidRPr="00E27A93" w:rsidRDefault="00E27A93" w:rsidP="00E2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6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0"/>
        <w:gridCol w:w="4107"/>
      </w:tblGrid>
      <w:tr w:rsidR="00E27A93" w:rsidRPr="00E27A93" w:rsidTr="00E27A93">
        <w:trPr>
          <w:tblCellSpacing w:w="15" w:type="dxa"/>
        </w:trPr>
        <w:tc>
          <w:tcPr>
            <w:tcW w:w="5535" w:type="dxa"/>
            <w:vAlign w:val="center"/>
            <w:hideMark/>
          </w:tcPr>
          <w:p w:rsidR="00E27A93" w:rsidRPr="00E27A93" w:rsidRDefault="00E27A93" w:rsidP="00E2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proofErr w:type="gramStart"/>
            <w:r w:rsidRPr="00E2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proofErr w:type="gram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PTCT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cáo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: VT,TXNK (3).</w:t>
            </w:r>
          </w:p>
        </w:tc>
        <w:tc>
          <w:tcPr>
            <w:tcW w:w="0" w:type="auto"/>
            <w:vAlign w:val="center"/>
            <w:hideMark/>
          </w:tcPr>
          <w:p w:rsidR="00E27A93" w:rsidRPr="00E27A93" w:rsidRDefault="00E27A93" w:rsidP="00E2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TL. TỔNG CỤC TRƯỞNG</w:t>
            </w:r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KT. CỤC TRƯỞNG CỤC THUẾ XNK</w:t>
            </w:r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PHÓ CỤC TRƯỞNG</w:t>
            </w:r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   Trần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Bằng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Toàn</w:t>
            </w:r>
            <w:proofErr w:type="spellEnd"/>
          </w:p>
        </w:tc>
      </w:tr>
    </w:tbl>
    <w:p w:rsidR="007363A6" w:rsidRDefault="007363A6"/>
    <w:sectPr w:rsidR="007363A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756" w:rsidRDefault="00E93756" w:rsidP="00E27A93">
      <w:pPr>
        <w:spacing w:after="0" w:line="240" w:lineRule="auto"/>
      </w:pPr>
      <w:r>
        <w:separator/>
      </w:r>
    </w:p>
  </w:endnote>
  <w:endnote w:type="continuationSeparator" w:id="0">
    <w:p w:rsidR="00E93756" w:rsidRDefault="00E93756" w:rsidP="00E2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756" w:rsidRDefault="00E93756" w:rsidP="00E27A93">
      <w:pPr>
        <w:spacing w:after="0" w:line="240" w:lineRule="auto"/>
      </w:pPr>
      <w:r>
        <w:separator/>
      </w:r>
    </w:p>
  </w:footnote>
  <w:footnote w:type="continuationSeparator" w:id="0">
    <w:p w:rsidR="00E93756" w:rsidRDefault="00E93756" w:rsidP="00E27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93" w:rsidRDefault="00E27A9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1781175</wp:posOffset>
          </wp:positionH>
          <wp:positionV relativeFrom="paragraph">
            <wp:posOffset>-226060</wp:posOffset>
          </wp:positionV>
          <wp:extent cx="2190750" cy="46825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vxnk-moi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468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93"/>
    <w:rsid w:val="007363A6"/>
    <w:rsid w:val="00E27A93"/>
    <w:rsid w:val="00E9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30A4EF-604B-4CBB-B5B5-2F14A5C4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7A93"/>
    <w:rPr>
      <w:b/>
      <w:bCs/>
    </w:rPr>
  </w:style>
  <w:style w:type="paragraph" w:customStyle="1" w:styleId="has-text-align-center">
    <w:name w:val="has-text-align-center"/>
    <w:basedOn w:val="Normal"/>
    <w:rsid w:val="00E2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7A9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27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A93"/>
  </w:style>
  <w:style w:type="paragraph" w:styleId="Footer">
    <w:name w:val="footer"/>
    <w:basedOn w:val="Normal"/>
    <w:link w:val="FooterChar"/>
    <w:uiPriority w:val="99"/>
    <w:unhideWhenUsed/>
    <w:rsid w:val="00E27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9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1</cp:revision>
  <dcterms:created xsi:type="dcterms:W3CDTF">2021-08-27T09:45:00Z</dcterms:created>
  <dcterms:modified xsi:type="dcterms:W3CDTF">2021-08-27T09:47:00Z</dcterms:modified>
</cp:coreProperties>
</file>