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CÔNG THƯƠNG</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38/2026/TT-BCT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BAN HÀNH “SỬA ĐỔI 01:2026 QCVN 03A:2020/BCT QUY CHUẨN KỸ THUẬT QUỐC GIA VỀ CHẤT LƯỢNG NATRI HYDROXIT CÔNG NGHIỆP”; “SỬA ĐỔI 01:2026 QCVN 06A:2020/BCT QUY CHUẨN KỸ THUẬT QUỐC GIA VỀ CHẤT LƯỢNG POLY ALUMINIUM CHLORIDE (PAC)”; “SỬA ĐỔI 01:2026 QCVN 07A:2020/BCT QUY CHUẨN KỸ THUẬT QUỐC GIA VỀ CHẤT LƯỢNG AMÔNIẮC CÔNG NGHIỆP”</w:t>
      </w:r>
      <w:bookmarkEnd w:id="1"/>
    </w:p>
    <w:p>
      <w:pPr>
        <w:bidi w:val="0"/>
        <w:spacing w:before="120" w:beforeAutospacing="0" w:after="280" w:afterAutospacing="1"/>
        <w:rPr>
          <w:rtl w:val="0"/>
        </w:rPr>
      </w:pPr>
      <w:r>
        <w:rPr>
          <w:i/>
          <w:iCs/>
          <w:rtl w:val="0"/>
        </w:rPr>
        <w:t xml:space="preserve">Căn cứ </w:t>
      </w:r>
      <w:bookmarkStart w:id="2" w:name="tvpllink_bfkweebicf"/>
      <w:r>
        <w:rPr>
          <w:i/>
          <w:iCs/>
          <w:rtl w:val="0"/>
        </w:rPr>
        <w:t>Luật Tiêu chuẩn và quy chuẩn kỹ thuật số 68/2006/QH11</w:t>
      </w:r>
      <w:bookmarkEnd w:id="2"/>
      <w:r>
        <w:rPr>
          <w:i/>
          <w:iCs/>
          <w:rtl w:val="0"/>
        </w:rPr>
        <w:t xml:space="preserve"> được sửa đổi, bổ sung bởi Luật số </w:t>
      </w:r>
      <w:bookmarkStart w:id="3" w:name="tvpllink_qaqdtojvwc"/>
      <w:r>
        <w:rPr>
          <w:i/>
          <w:iCs/>
          <w:rtl w:val="0"/>
        </w:rPr>
        <w:t>35/2018/QH14</w:t>
      </w:r>
      <w:bookmarkEnd w:id="3"/>
      <w:r>
        <w:rPr>
          <w:i/>
          <w:iCs/>
          <w:rtl w:val="0"/>
        </w:rPr>
        <w:t xml:space="preserve"> và Luật số </w:t>
      </w:r>
      <w:bookmarkStart w:id="4" w:name="tvpllink_pviurcwddt"/>
      <w:r>
        <w:rPr>
          <w:i/>
          <w:iCs/>
          <w:rtl w:val="0"/>
        </w:rPr>
        <w:t>70/2025/QH15</w:t>
      </w:r>
      <w:bookmarkEnd w:id="4"/>
      <w:r>
        <w:rPr>
          <w:i/>
          <w:iCs/>
          <w:rtl w:val="0"/>
        </w:rPr>
        <w:t>;</w:t>
      </w:r>
    </w:p>
    <w:p>
      <w:pPr>
        <w:bidi w:val="0"/>
        <w:spacing w:before="120" w:beforeAutospacing="0" w:after="280" w:afterAutospacing="1"/>
        <w:rPr>
          <w:rtl w:val="0"/>
        </w:rPr>
      </w:pPr>
      <w:r>
        <w:rPr>
          <w:i/>
          <w:iCs/>
          <w:rtl w:val="0"/>
        </w:rPr>
        <w:t xml:space="preserve">Căn cứ </w:t>
      </w:r>
      <w:bookmarkStart w:id="5" w:name="tvpllink_mhyivazsmk"/>
      <w:r>
        <w:rPr>
          <w:i/>
          <w:iCs/>
          <w:rtl w:val="0"/>
        </w:rPr>
        <w:t>Luật Chất lượng sản phẩm, hàng hóa số 05/2007/QH12</w:t>
      </w:r>
      <w:bookmarkEnd w:id="5"/>
      <w:r>
        <w:rPr>
          <w:i/>
          <w:iCs/>
          <w:rtl w:val="0"/>
        </w:rPr>
        <w:t xml:space="preserve"> được sửa đổi, bổ sung bởi Luật số </w:t>
      </w:r>
      <w:bookmarkStart w:id="6" w:name="tvpllink_qaqdtojvwc_1"/>
      <w:r>
        <w:rPr>
          <w:i/>
          <w:iCs/>
          <w:rtl w:val="0"/>
        </w:rPr>
        <w:t>35/2018/QH14</w:t>
      </w:r>
      <w:bookmarkEnd w:id="6"/>
      <w:r>
        <w:rPr>
          <w:i/>
          <w:iCs/>
          <w:rtl w:val="0"/>
        </w:rPr>
        <w:t xml:space="preserve"> và Luật số </w:t>
      </w:r>
      <w:bookmarkStart w:id="7" w:name="tvpllink_umkovfqetq"/>
      <w:r>
        <w:rPr>
          <w:i/>
          <w:iCs/>
          <w:rtl w:val="0"/>
        </w:rPr>
        <w:t>78/2025/QH15</w:t>
      </w:r>
      <w:bookmarkEnd w:id="7"/>
      <w:r>
        <w:rPr>
          <w:i/>
          <w:iCs/>
          <w:rtl w:val="0"/>
        </w:rPr>
        <w:t>;</w:t>
      </w:r>
    </w:p>
    <w:p>
      <w:pPr>
        <w:bidi w:val="0"/>
        <w:spacing w:before="120" w:beforeAutospacing="0" w:after="280" w:afterAutospacing="1"/>
        <w:rPr>
          <w:rtl w:val="0"/>
        </w:rPr>
      </w:pPr>
      <w:r>
        <w:rPr>
          <w:i/>
          <w:iCs/>
          <w:rtl w:val="0"/>
        </w:rPr>
        <w:t xml:space="preserve">Căn cứ Nghị định số </w:t>
      </w:r>
      <w:bookmarkStart w:id="8" w:name="tvpllink_nyajtqivur"/>
      <w:r>
        <w:rPr>
          <w:i/>
          <w:iCs/>
          <w:rtl w:val="0"/>
        </w:rPr>
        <w:t>40/2025/NĐ-CP</w:t>
      </w:r>
      <w:bookmarkEnd w:id="8"/>
      <w:r>
        <w:rPr>
          <w:i/>
          <w:iCs/>
          <w:rtl w:val="0"/>
        </w:rPr>
        <w:t xml:space="preserve"> của Chính phủ quy định chức năng, nhiệm vụ, quyền hạn và cơ cấu tổ chức của Bộ Công Thương được sửa đổi, bổ sung bởi Nghị định số </w:t>
      </w:r>
      <w:bookmarkStart w:id="9" w:name="tvpllink_frvrtmfocb"/>
      <w:r>
        <w:rPr>
          <w:i/>
          <w:iCs/>
          <w:rtl w:val="0"/>
        </w:rPr>
        <w:t>109/2025/NĐ-CP</w:t>
      </w:r>
      <w:bookmarkEnd w:id="9"/>
      <w:r>
        <w:rPr>
          <w:i/>
          <w:iCs/>
          <w:rtl w:val="0"/>
        </w:rPr>
        <w:t xml:space="preserve"> và Nghị định số </w:t>
      </w:r>
      <w:bookmarkStart w:id="10" w:name="tvpllink_fyrmoauwhp"/>
      <w:r>
        <w:rPr>
          <w:i/>
          <w:iCs/>
          <w:rtl w:val="0"/>
        </w:rPr>
        <w:t>193/2025/NĐ-CP</w:t>
      </w:r>
      <w:bookmarkEnd w:id="10"/>
      <w:r>
        <w:rPr>
          <w:i/>
          <w:iCs/>
          <w:rtl w:val="0"/>
        </w:rPr>
        <w:t>;</w:t>
      </w:r>
    </w:p>
    <w:p>
      <w:pPr>
        <w:bidi w:val="0"/>
        <w:spacing w:before="120" w:beforeAutospacing="0" w:after="280" w:afterAutospacing="1"/>
        <w:rPr>
          <w:rtl w:val="0"/>
        </w:rPr>
      </w:pPr>
      <w:r>
        <w:rPr>
          <w:i/>
          <w:iCs/>
          <w:rtl w:val="0"/>
        </w:rPr>
        <w:t xml:space="preserve">Căn cứ Nghị định số </w:t>
      </w:r>
      <w:bookmarkStart w:id="11" w:name="tvpllink_mdvjyhpjhp"/>
      <w:r>
        <w:rPr>
          <w:i/>
          <w:iCs/>
          <w:rtl w:val="0"/>
        </w:rPr>
        <w:t>22/2026/NĐ-CP</w:t>
      </w:r>
      <w:bookmarkEnd w:id="11"/>
      <w:r>
        <w:rPr>
          <w:i/>
          <w:iCs/>
          <w:rtl w:val="0"/>
        </w:rPr>
        <w:t xml:space="preserve"> của Chính phủ quy định chi tiết một số điều và biện pháp để tổ chức, hướng dẫn thi hành </w:t>
      </w:r>
      <w:bookmarkStart w:id="12" w:name="tvpllink_bfkweebicf_1"/>
      <w:r>
        <w:rPr>
          <w:i/>
          <w:iCs/>
          <w:rtl w:val="0"/>
        </w:rPr>
        <w:t>Luật Tiêu chuẩn và quy chuẩn kỹ thuật</w:t>
      </w:r>
      <w:bookmarkEnd w:id="12"/>
      <w:r>
        <w:rPr>
          <w:i/>
          <w:iCs/>
          <w:rtl w:val="0"/>
        </w:rPr>
        <w:t>;</w:t>
      </w:r>
    </w:p>
    <w:p>
      <w:pPr>
        <w:bidi w:val="0"/>
        <w:spacing w:before="120" w:beforeAutospacing="0" w:after="280" w:afterAutospacing="1"/>
        <w:rPr>
          <w:rtl w:val="0"/>
        </w:rPr>
      </w:pPr>
      <w:r>
        <w:rPr>
          <w:i/>
          <w:iCs/>
          <w:rtl w:val="0"/>
        </w:rPr>
        <w:t xml:space="preserve">Căn cứ Nghị định số </w:t>
      </w:r>
      <w:bookmarkStart w:id="13" w:name="tvpllink_lpeisttiyk"/>
      <w:r>
        <w:rPr>
          <w:i/>
          <w:iCs/>
          <w:rtl w:val="0"/>
        </w:rPr>
        <w:t>37/2026/NĐ-CP</w:t>
      </w:r>
      <w:bookmarkEnd w:id="13"/>
      <w:r>
        <w:rPr>
          <w:i/>
          <w:iCs/>
          <w:rtl w:val="0"/>
        </w:rPr>
        <w:t xml:space="preserve"> của Chính phủ quy định chi tiết một số điều và biện pháp để tổ chức, hướng dẫn thi hành </w:t>
      </w:r>
      <w:bookmarkStart w:id="14" w:name="tvpllink_mhyivazsmk_1"/>
      <w:r>
        <w:rPr>
          <w:i/>
          <w:iCs/>
          <w:rtl w:val="0"/>
        </w:rPr>
        <w:t>Luật Chất lượng sản phẩm, hàng hóa</w:t>
      </w:r>
      <w:bookmarkEnd w:id="14"/>
      <w:r>
        <w:rPr>
          <w:i/>
          <w:iCs/>
          <w:rtl w:val="0"/>
        </w:rPr>
        <w:t>;</w:t>
      </w:r>
    </w:p>
    <w:p>
      <w:pPr>
        <w:bidi w:val="0"/>
        <w:spacing w:before="120" w:beforeAutospacing="0" w:after="280" w:afterAutospacing="1"/>
        <w:rPr>
          <w:rtl w:val="0"/>
        </w:rPr>
      </w:pPr>
      <w:r>
        <w:rPr>
          <w:i/>
          <w:iCs/>
          <w:rtl w:val="0"/>
        </w:rPr>
        <w:t>Theo đề nghị của Cục trưởng Cục Hóa chất;</w:t>
      </w:r>
    </w:p>
    <w:p>
      <w:pPr>
        <w:bidi w:val="0"/>
        <w:spacing w:before="120" w:beforeAutospacing="0" w:after="280" w:afterAutospacing="1"/>
        <w:rPr>
          <w:rtl w:val="0"/>
        </w:rPr>
      </w:pPr>
      <w:r>
        <w:rPr>
          <w:i/>
          <w:iCs/>
          <w:rtl w:val="0"/>
        </w:rPr>
        <w:t>Bộ trưởng Bộ Công Thương ban hành Thông tư ban hành “Sửa đổi 01:2026 QCVN 03A:2020/BCT Quy chuẩn kỹ thuật quốc gia về chất lượng Natri hydroxit công nghiệp”; “Sửa đổi 01:2026 QCVN 06A:2020/BCT Quy chuẩn kỹ thuật quốc gia về chất lượng Poly aluminium chloride (PAC)”; “Sửa đổi 01:2026 QCVN 07A:2020/BCT Quy chuẩn kỹ thuật quốc gia về chất lượng Amôniắc công nghiệp”.</w:t>
      </w:r>
    </w:p>
    <w:p>
      <w:pPr>
        <w:bidi w:val="0"/>
        <w:spacing w:before="120" w:beforeAutospacing="0" w:after="280" w:afterAutospacing="1"/>
        <w:rPr>
          <w:rtl w:val="0"/>
        </w:rPr>
      </w:pPr>
      <w:bookmarkStart w:id="15" w:name="dieu_1"/>
      <w:r>
        <w:rPr>
          <w:b/>
          <w:bCs/>
          <w:rtl w:val="0"/>
        </w:rPr>
        <w:t>Điều 1. Sửa đổi 01:2026 QCVN 03A:2020/BCT Quy chuẩn kỹ thuật quốc gia về chất lượng Natri hydroxit công nghiệp</w:t>
      </w:r>
      <w:bookmarkEnd w:id="15"/>
      <w:r>
        <w:rPr>
          <w:b/>
          <w:bCs/>
          <w:rtl w:val="0"/>
        </w:rPr>
        <w:t xml:space="preserve"> </w:t>
      </w:r>
    </w:p>
    <w:p>
      <w:pPr>
        <w:bidi w:val="0"/>
        <w:spacing w:before="120" w:beforeAutospacing="0" w:after="280" w:afterAutospacing="1"/>
        <w:rPr>
          <w:rtl w:val="0"/>
        </w:rPr>
      </w:pPr>
      <w:r>
        <w:rPr>
          <w:rtl w:val="0"/>
        </w:rPr>
        <w:t xml:space="preserve">Ban hành Sửa đổi 01:2026 QCVN 03A:2020/BCT Quy chuẩn kỹ thuật quốc gia về chất lượng Natri hydroxit công nghiệp được ban hành kèm theo Thông tư số </w:t>
      </w:r>
      <w:bookmarkStart w:id="16" w:name="tvpllink_nlqxbvidwl"/>
      <w:r>
        <w:rPr>
          <w:rtl w:val="0"/>
        </w:rPr>
        <w:t>46/2020/TT-BCT</w:t>
      </w:r>
      <w:bookmarkEnd w:id="16"/>
      <w:r>
        <w:rPr>
          <w:rtl w:val="0"/>
        </w:rPr>
        <w:t xml:space="preserve"> ngày 21 tháng 12 năm 2020 của Bộ trưởng Bộ Công Thương tại Phụ lục I kèm theo Thông tư này.</w:t>
      </w:r>
    </w:p>
    <w:p>
      <w:pPr>
        <w:bidi w:val="0"/>
        <w:spacing w:before="120" w:beforeAutospacing="0" w:after="280" w:afterAutospacing="1"/>
        <w:rPr>
          <w:rtl w:val="0"/>
        </w:rPr>
      </w:pPr>
      <w:bookmarkStart w:id="17" w:name="dieu_2"/>
      <w:r>
        <w:rPr>
          <w:b/>
          <w:bCs/>
          <w:rtl w:val="0"/>
        </w:rPr>
        <w:t>Điều 2. Sửa đổi 01:2026 QCVN 06A:2020/BCT Quy chuẩn kỹ thuật quốc gia về chất lượng Poly aluminium chloride (PAC)</w:t>
      </w:r>
      <w:bookmarkEnd w:id="17"/>
    </w:p>
    <w:p>
      <w:pPr>
        <w:bidi w:val="0"/>
        <w:spacing w:before="120" w:beforeAutospacing="0" w:after="280" w:afterAutospacing="1"/>
        <w:rPr>
          <w:rtl w:val="0"/>
        </w:rPr>
      </w:pPr>
      <w:r>
        <w:rPr>
          <w:rtl w:val="0"/>
        </w:rPr>
        <w:t xml:space="preserve">Ban hành Sửa đổi 01:2026 QCVN 06A:2020/BCT Quy chuẩn kỹ thuật quốc gia về chất lượng Poly aluminium chloride (PAC) được ban hành kèm theo Thông tư số </w:t>
      </w:r>
      <w:bookmarkStart w:id="18" w:name="tvpllink_oyawwahhpc"/>
      <w:r>
        <w:rPr>
          <w:rtl w:val="0"/>
        </w:rPr>
        <w:t>49/2020/TT-BCT</w:t>
      </w:r>
      <w:bookmarkEnd w:id="18"/>
      <w:r>
        <w:rPr>
          <w:rtl w:val="0"/>
        </w:rPr>
        <w:t xml:space="preserve"> ngày 21 tháng 12 năm 2020 của Bộ trưởng Bộ Công Thương tại Phụ lục II kèm theo Thông tư này.</w:t>
      </w:r>
    </w:p>
    <w:p>
      <w:pPr>
        <w:bidi w:val="0"/>
        <w:spacing w:before="120" w:beforeAutospacing="0" w:after="280" w:afterAutospacing="1"/>
        <w:rPr>
          <w:rtl w:val="0"/>
        </w:rPr>
      </w:pPr>
      <w:bookmarkStart w:id="19" w:name="dieu_3"/>
      <w:r>
        <w:rPr>
          <w:b/>
          <w:bCs/>
          <w:rtl w:val="0"/>
        </w:rPr>
        <w:t>Điều 3. Sửa đổi 01:2026 QCVN 07A:2020/BCT Quy chuẩn kỹ thuật quốc gia về chất lượng Amôniắc công nghiệp</w:t>
      </w:r>
      <w:bookmarkEnd w:id="19"/>
    </w:p>
    <w:p>
      <w:pPr>
        <w:bidi w:val="0"/>
        <w:spacing w:before="120" w:beforeAutospacing="0" w:after="280" w:afterAutospacing="1"/>
        <w:rPr>
          <w:rtl w:val="0"/>
        </w:rPr>
      </w:pPr>
      <w:r>
        <w:rPr>
          <w:rtl w:val="0"/>
        </w:rPr>
        <w:t xml:space="preserve">Ban hành Sửa đổi 01:2026 QCVN 07A:2020/BCT Quy chuẩn kỹ thuật quốc gia về chất lượng Amôniắc công nghiệp được ban hành kèm theo Thông tư số </w:t>
      </w:r>
      <w:bookmarkStart w:id="20" w:name="tvpllink_jzsihqlvfi"/>
      <w:r>
        <w:rPr>
          <w:rtl w:val="0"/>
        </w:rPr>
        <w:t>50/2020/TT-BCT</w:t>
      </w:r>
      <w:bookmarkEnd w:id="20"/>
      <w:r>
        <w:rPr>
          <w:rtl w:val="0"/>
        </w:rPr>
        <w:t xml:space="preserve"> ngày 21 tháng 12 năm 2020 của Bộ trưởng Bộ Công Thương tại Phụ lục III kèm theo Thông tư này.</w:t>
      </w:r>
    </w:p>
    <w:p>
      <w:pPr>
        <w:shd w:val="solid" w:color="FFFFFF" w:fill="auto"/>
        <w:bidi w:val="0"/>
        <w:spacing w:before="120" w:beforeAutospacing="0" w:after="280" w:afterAutospacing="1"/>
        <w:rPr>
          <w:rtl w:val="0"/>
        </w:rPr>
      </w:pPr>
      <w:bookmarkStart w:id="21" w:name="dieu_4"/>
      <w:r>
        <w:rPr>
          <w:b/>
          <w:bCs/>
          <w:color w:val="000000"/>
          <w:rtl w:val="0"/>
        </w:rPr>
        <w:t>Điều 4. Hiệu lực thi hành</w:t>
      </w:r>
      <w:bookmarkEnd w:id="21"/>
    </w:p>
    <w:p>
      <w:pPr>
        <w:shd w:val="solid" w:color="FFFFFF" w:fill="auto"/>
        <w:bidi w:val="0"/>
        <w:spacing w:before="120" w:beforeAutospacing="0" w:after="280" w:afterAutospacing="1"/>
        <w:rPr>
          <w:rtl w:val="0"/>
        </w:rPr>
      </w:pPr>
      <w:r>
        <w:rPr>
          <w:color w:val="000000"/>
          <w:rtl w:val="0"/>
        </w:rPr>
        <w:t>Thông tư này có hiệu lực thi hành kể từ ngày 01 tháng 7 năm 2026.</w:t>
      </w:r>
    </w:p>
    <w:p>
      <w:pPr>
        <w:bidi w:val="0"/>
        <w:spacing w:before="120" w:beforeAutospacing="0" w:after="280" w:afterAutospacing="1"/>
        <w:rPr>
          <w:rtl w:val="0"/>
        </w:rPr>
      </w:pPr>
      <w:bookmarkStart w:id="22" w:name="dieu_5"/>
      <w:r>
        <w:rPr>
          <w:b/>
          <w:bCs/>
          <w:rtl w:val="0"/>
          <w:lang w:val="it-IT" w:eastAsia="it-IT"/>
        </w:rPr>
        <w:t>Điều 5. Tổ chức thực hiện</w:t>
      </w:r>
      <w:bookmarkEnd w:id="22"/>
    </w:p>
    <w:p>
      <w:pPr>
        <w:bidi w:val="0"/>
        <w:spacing w:before="120" w:beforeAutospacing="0" w:after="280" w:afterAutospacing="1"/>
        <w:rPr>
          <w:rtl w:val="0"/>
        </w:rPr>
      </w:pPr>
      <w:r>
        <w:rPr>
          <w:rtl w:val="0"/>
        </w:rPr>
        <w:t>1. Cục trưởng Cục Hóa chất có trách nhiệm tổ chức hướng dẫn và triển khai thực hiện Thông tư này.</w:t>
      </w:r>
    </w:p>
    <w:p>
      <w:pPr>
        <w:bidi w:val="0"/>
        <w:spacing w:before="120" w:beforeAutospacing="0" w:after="280" w:afterAutospacing="1"/>
        <w:rPr>
          <w:rtl w:val="0"/>
        </w:rPr>
      </w:pPr>
      <w:r>
        <w:rPr>
          <w:rtl w:val="0"/>
        </w:rPr>
        <w:t>2. Cục trưởng Cục Hóa chất, Ủy ban nhân dân các tỉnh, thành phố, Thủ trưởng các cơ quan, tổ chức và cá nhân có liên quan chịu trách nhiệm thi hành Thông tư này.</w:t>
      </w:r>
    </w:p>
    <w:p>
      <w:pPr>
        <w:bidi w:val="0"/>
        <w:spacing w:before="120" w:beforeAutospacing="0" w:after="280" w:afterAutospacing="1"/>
        <w:rPr>
          <w:rtl w:val="0"/>
        </w:rPr>
      </w:pPr>
      <w:r>
        <w:rPr>
          <w:rtl w:val="0"/>
        </w:rPr>
        <w:t>3. Trong quá trình thực hiện, nếu phát sinh vướng mắc, cơ quan, tổ chức, cá nhân kịp thời phản ánh bằng văn bản về Bộ Công Thương (qua Cục Hóa chất) để được hướng dẫn hoặc nghiên cứu sửa đổi, bổ sung cho phù hợp./.</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517"/>
        <w:gridCol w:w="4123"/>
      </w:tblGrid>
      <w:tr>
        <w:tblPrEx>
          <w:jc w:val="left"/>
          <w:tblCellMar>
            <w:top w:w="0" w:type="dxa"/>
            <w:left w:w="0" w:type="dxa"/>
            <w:bottom w:w="0" w:type="dxa"/>
            <w:right w:w="0" w:type="dxa"/>
          </w:tblCellMar>
        </w:tblPrEx>
        <w:trPr>
          <w:jc w:val="left"/>
        </w:trPr>
        <w:tc>
          <w:tcPr>
            <w:tcW w:w="465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xml:space="preserve">- </w:t>
            </w:r>
            <w:r>
              <w:rPr>
                <w:rtl w:val="0"/>
              </w:rPr>
              <w:t>Ban Bí thư Trung ương Đảng;</w:t>
            </w:r>
            <w:r>
              <w:rPr>
                <w:sz w:val="16"/>
                <w:rtl w:val="0"/>
              </w:rPr>
              <w:br/>
            </w:r>
            <w:r>
              <w:rPr>
                <w:rtl w:val="0"/>
              </w:rPr>
              <w:t>- Văn phòng Tổng bí thư; Văn phòng Chủ tịch nước;</w:t>
            </w:r>
            <w:r>
              <w:rPr>
                <w:sz w:val="16"/>
                <w:rtl w:val="0"/>
              </w:rPr>
              <w:br/>
            </w:r>
            <w:r>
              <w:rPr>
                <w:rtl w:val="0"/>
              </w:rPr>
              <w:t>- Văn phòng Quốc hội;</w:t>
            </w:r>
            <w:r>
              <w:rPr>
                <w:sz w:val="16"/>
                <w:rtl w:val="0"/>
              </w:rPr>
              <w:br/>
            </w:r>
            <w:r>
              <w:rPr>
                <w:rtl w:val="0"/>
              </w:rPr>
              <w:t>- Hội đồng Dân tộc và các Ủy ban của Quốc hội;</w:t>
            </w:r>
            <w:r>
              <w:rPr>
                <w:sz w:val="16"/>
                <w:rtl w:val="0"/>
              </w:rPr>
              <w:br/>
            </w:r>
            <w:r>
              <w:rPr>
                <w:rtl w:val="0"/>
              </w:rPr>
              <w:t>- Văn phòng Chính phủ;</w:t>
            </w:r>
            <w:r>
              <w:rPr>
                <w:sz w:val="16"/>
                <w:rtl w:val="0"/>
              </w:rPr>
              <w:br/>
            </w:r>
            <w:r>
              <w:rPr>
                <w:rtl w:val="0"/>
              </w:rPr>
              <w:t>- Thủ tướng, các Phó Thủ tướng Chính phủ;</w:t>
            </w:r>
            <w:r>
              <w:rPr>
                <w:sz w:val="16"/>
                <w:rtl w:val="0"/>
              </w:rPr>
              <w:br/>
            </w:r>
            <w:r>
              <w:rPr>
                <w:rtl w:val="0"/>
              </w:rPr>
              <w:t>- Văn phòng Trung ương Đảng và các Ban của Đảng;</w:t>
            </w:r>
            <w:r>
              <w:rPr>
                <w:sz w:val="16"/>
                <w:rtl w:val="0"/>
              </w:rPr>
              <w:br/>
            </w:r>
            <w:r>
              <w:rPr>
                <w:rtl w:val="0"/>
              </w:rPr>
              <w:t>- Các bộ, cơ quan ngang bộ, cơ quan thuộc Chính phủ;</w:t>
            </w:r>
            <w:r>
              <w:rPr>
                <w:sz w:val="16"/>
                <w:rtl w:val="0"/>
              </w:rPr>
              <w:br/>
            </w:r>
            <w:r>
              <w:rPr>
                <w:rtl w:val="0"/>
              </w:rPr>
              <w:t>- Viện Kiểm sát nhân dân tối cao; Tòa án nhân dân tối cao;</w:t>
            </w:r>
            <w:r>
              <w:rPr>
                <w:sz w:val="16"/>
                <w:rtl w:val="0"/>
              </w:rPr>
              <w:br/>
            </w:r>
            <w:r>
              <w:rPr>
                <w:rtl w:val="0"/>
              </w:rPr>
              <w:t>- Kiểm toán nhà nước;</w:t>
            </w:r>
            <w:r>
              <w:rPr>
                <w:sz w:val="16"/>
                <w:rtl w:val="0"/>
              </w:rPr>
              <w:br/>
            </w:r>
            <w:r>
              <w:rPr>
                <w:rtl w:val="0"/>
              </w:rPr>
              <w:t>- Ủy ban Trung ương Mặt trận Tổ quốc Việt Nam;</w:t>
            </w:r>
            <w:r>
              <w:rPr>
                <w:sz w:val="16"/>
                <w:rtl w:val="0"/>
              </w:rPr>
              <w:br/>
            </w:r>
            <w:r>
              <w:rPr>
                <w:rtl w:val="0"/>
              </w:rPr>
              <w:t>- UBND, HĐND các tỉnh, thành phố;</w:t>
            </w:r>
            <w:r>
              <w:rPr>
                <w:sz w:val="16"/>
                <w:rtl w:val="0"/>
              </w:rPr>
              <w:br/>
            </w:r>
            <w:r>
              <w:rPr>
                <w:rtl w:val="0"/>
              </w:rPr>
              <w:t>- Cơ quan trung ương của các đoàn thể;</w:t>
            </w:r>
            <w:r>
              <w:rPr>
                <w:sz w:val="16"/>
                <w:rtl w:val="0"/>
              </w:rPr>
              <w:br/>
            </w:r>
            <w:r>
              <w:rPr>
                <w:rtl w:val="0"/>
              </w:rPr>
              <w:t>- Cục Kiểm tra văn bản và Tổ chức thi hành pháp luật, Bộ Tư pháp;</w:t>
            </w:r>
            <w:r>
              <w:rPr>
                <w:sz w:val="16"/>
                <w:rtl w:val="0"/>
              </w:rPr>
              <w:br/>
            </w:r>
            <w:r>
              <w:rPr>
                <w:rtl w:val="0"/>
              </w:rPr>
              <w:t>- Các Lãnh đạo Bộ;</w:t>
            </w:r>
            <w:r>
              <w:rPr>
                <w:sz w:val="16"/>
                <w:rtl w:val="0"/>
              </w:rPr>
              <w:br/>
            </w:r>
            <w:r>
              <w:rPr>
                <w:rtl w:val="0"/>
              </w:rPr>
              <w:t>- Các đơn vị thuộc Bộ Công Thương;</w:t>
            </w:r>
            <w:r>
              <w:rPr>
                <w:sz w:val="16"/>
                <w:rtl w:val="0"/>
              </w:rPr>
              <w:br/>
            </w:r>
            <w:r>
              <w:rPr>
                <w:rtl w:val="0"/>
              </w:rPr>
              <w:t>- Cổng thông tin điện tử Chính phủ; cổng thông tin điện tử Bộ Công Thương;</w:t>
            </w:r>
            <w:r>
              <w:rPr>
                <w:sz w:val="16"/>
                <w:rtl w:val="0"/>
              </w:rPr>
              <w:br/>
            </w:r>
            <w:r>
              <w:rPr>
                <w:rtl w:val="0"/>
              </w:rPr>
              <w:t xml:space="preserve">- Công báo; </w:t>
            </w:r>
            <w:r>
              <w:rPr>
                <w:sz w:val="16"/>
                <w:rtl w:val="0"/>
              </w:rPr>
              <w:br/>
            </w:r>
            <w:r>
              <w:rPr>
                <w:rtl w:val="0"/>
              </w:rPr>
              <w:t>- Lưu: VT, HC.</w:t>
            </w:r>
          </w:p>
        </w:tc>
        <w:tc>
          <w:tcPr>
            <w:tcW w:w="419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KT. BỘ TRƯỞNG</w:t>
            </w:r>
            <w:r>
              <w:rPr>
                <w:rtl w:val="0"/>
              </w:rPr>
              <w:br/>
            </w:r>
            <w:r>
              <w:rPr>
                <w:b/>
                <w:bCs/>
                <w:rtl w:val="0"/>
                <w:lang w:val="pt-BR" w:eastAsia="pt-BR"/>
              </w:rPr>
              <w:t>THỨ TRƯỞNG</w:t>
            </w:r>
            <w:r>
              <w:rPr>
                <w:b/>
                <w:bCs/>
                <w:rtl w:val="0"/>
                <w:lang w:val="pt-BR" w:eastAsia="pt-BR"/>
              </w:rPr>
              <w:br/>
            </w:r>
            <w:r>
              <w:rPr>
                <w:b/>
                <w:bCs/>
                <w:rtl w:val="0"/>
                <w:lang w:val="pt-BR" w:eastAsia="pt-BR"/>
              </w:rPr>
              <w:br/>
            </w:r>
            <w:r>
              <w:rPr>
                <w:b/>
                <w:bCs/>
                <w:rtl w:val="0"/>
                <w:lang w:val="pt-BR" w:eastAsia="pt-BR"/>
              </w:rPr>
              <w:br/>
            </w:r>
            <w:r>
              <w:rPr>
                <w:b/>
                <w:bCs/>
                <w:rtl w:val="0"/>
                <w:lang w:val="pt-BR" w:eastAsia="pt-BR"/>
              </w:rPr>
              <w:br/>
            </w:r>
            <w:r>
              <w:rPr>
                <w:rtl w:val="0"/>
              </w:rPr>
              <w:br/>
            </w:r>
            <w:r>
              <w:rPr>
                <w:b/>
                <w:bCs/>
                <w:rtl w:val="0"/>
              </w:rPr>
              <w:t>Trương Thanh Hoài</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23" w:name="chuong_pl_1"/>
      <w:r>
        <w:rPr>
          <w:b/>
          <w:bCs/>
          <w:rtl w:val="0"/>
          <w:lang w:val="it-IT" w:eastAsia="it-IT"/>
        </w:rPr>
        <w:t>PHỤ LỤC I</w:t>
      </w:r>
      <w:bookmarkEnd w:id="23"/>
    </w:p>
    <w:p>
      <w:pPr>
        <w:bidi w:val="0"/>
        <w:spacing w:before="120" w:beforeAutospacing="0" w:after="280" w:afterAutospacing="1"/>
        <w:jc w:val="center"/>
        <w:rPr>
          <w:rtl w:val="0"/>
        </w:rPr>
      </w:pPr>
      <w:r>
        <w:rPr>
          <w:i/>
          <w:iCs/>
          <w:rtl w:val="0"/>
          <w:lang w:val="it-IT" w:eastAsia="it-IT"/>
        </w:rPr>
        <w:t>(Ban hành kèm theo Thông tư số 38/2026/TT-BCT ngày 30 tháng 6 năm 2026 của Bộ trưởng Bộ Công Thương)</w:t>
      </w:r>
    </w:p>
    <w:p>
      <w:pPr>
        <w:bidi w:val="0"/>
        <w:spacing w:before="120" w:beforeAutospacing="0" w:after="280" w:afterAutospacing="1"/>
        <w:jc w:val="center"/>
        <w:rPr>
          <w:rtl w:val="0"/>
        </w:rPr>
      </w:pPr>
      <w:bookmarkStart w:id="24" w:name="chuong_pl_1_name"/>
      <w:r>
        <w:rPr>
          <w:b/>
          <w:bCs/>
          <w:rtl w:val="0"/>
          <w:lang w:val="it-IT" w:eastAsia="it-IT"/>
        </w:rPr>
        <w:t>SỬA ĐỔI 01:2026 QCVN 03A:2020/BCT QUY CHUẨN KỸ THUẬT QUỐC GIA VỀ CHẤT LƯỢNG NATRI HYDROXIT CÔNG NGHIỆP</w:t>
      </w:r>
      <w:bookmarkEnd w:id="24"/>
    </w:p>
    <w:p>
      <w:pPr>
        <w:bidi w:val="0"/>
        <w:spacing w:before="120" w:beforeAutospacing="0" w:after="280" w:afterAutospacing="1"/>
        <w:jc w:val="center"/>
        <w:rPr>
          <w:rtl w:val="0"/>
        </w:rPr>
      </w:pPr>
      <w:r>
        <w:rPr>
          <w:b/>
          <w:bCs/>
          <w:i/>
          <w:iCs/>
          <w:rtl w:val="0"/>
          <w:lang w:val="it-IT" w:eastAsia="it-IT"/>
        </w:rPr>
        <w:t> </w:t>
      </w:r>
    </w:p>
    <w:p>
      <w:pPr>
        <w:bidi w:val="0"/>
        <w:spacing w:before="120" w:beforeAutospacing="0" w:after="280" w:afterAutospacing="1"/>
        <w:jc w:val="center"/>
        <w:rPr>
          <w:rtl w:val="0"/>
        </w:rPr>
      </w:pPr>
      <w:r>
        <w:rPr>
          <w:b/>
          <w:bCs/>
          <w:rtl w:val="0"/>
          <w:lang w:val="nl-NL" w:eastAsia="nl-NL"/>
        </w:rPr>
        <w:t xml:space="preserve">SỬA ĐỔI 01:2026 QCVN 03A:2020/BCT </w:t>
      </w:r>
    </w:p>
    <w:p>
      <w:pPr>
        <w:bidi w:val="0"/>
        <w:spacing w:before="120" w:beforeAutospacing="0" w:after="280" w:afterAutospacing="1"/>
        <w:jc w:val="center"/>
        <w:rPr>
          <w:rtl w:val="0"/>
        </w:rPr>
      </w:pPr>
      <w:r>
        <w:rPr>
          <w:b/>
          <w:bCs/>
          <w:rtl w:val="0"/>
        </w:rPr>
        <w:t>QUY CHUẨN KỸ THUẬT QUỐC GIA</w:t>
      </w:r>
      <w:r>
        <w:rPr>
          <w:b/>
          <w:bCs/>
          <w:rtl w:val="0"/>
        </w:rPr>
        <w:br/>
      </w:r>
      <w:r>
        <w:rPr>
          <w:b/>
          <w:bCs/>
          <w:rtl w:val="0"/>
        </w:rPr>
        <w:t xml:space="preserve">VỀ CHẤT LƯỢNG NATRI HYDROXIT CÔNG NGHIỆP </w:t>
      </w:r>
    </w:p>
    <w:p>
      <w:pPr>
        <w:bidi w:val="0"/>
        <w:spacing w:before="120" w:beforeAutospacing="0" w:after="280" w:afterAutospacing="1"/>
        <w:jc w:val="center"/>
        <w:rPr>
          <w:rtl w:val="0"/>
        </w:rPr>
      </w:pPr>
      <w:r>
        <w:rPr>
          <w:b/>
          <w:bCs/>
          <w:i/>
          <w:iCs/>
          <w:rtl w:val="0"/>
        </w:rPr>
        <w:t xml:space="preserve">Amendment </w:t>
      </w:r>
      <w:r>
        <w:rPr>
          <w:b/>
          <w:bCs/>
          <w:i/>
          <w:iCs/>
          <w:rtl w:val="0"/>
        </w:rPr>
        <w:t>0</w:t>
      </w:r>
      <w:r>
        <w:rPr>
          <w:b/>
          <w:bCs/>
          <w:i/>
          <w:iCs/>
          <w:rtl w:val="0"/>
        </w:rPr>
        <w:t>1:2026 QCVN 03A:2020/BCT</w:t>
      </w:r>
      <w:r>
        <w:rPr>
          <w:rtl w:val="0"/>
        </w:rPr>
        <w:br/>
      </w:r>
      <w:r>
        <w:rPr>
          <w:b/>
          <w:bCs/>
          <w:i/>
          <w:iCs/>
          <w:rtl w:val="0"/>
        </w:rPr>
        <w:t>National technical regulation on quality of Industrial sodium hydroxide</w:t>
      </w:r>
    </w:p>
    <w:p>
      <w:pPr>
        <w:bidi w:val="0"/>
        <w:spacing w:before="120" w:beforeAutospacing="0" w:after="280" w:afterAutospacing="1"/>
        <w:rPr>
          <w:rtl w:val="0"/>
        </w:rPr>
      </w:pPr>
      <w:r>
        <w:rPr>
          <w:b/>
          <w:bCs/>
          <w:rtl w:val="0"/>
        </w:rPr>
        <w:t> </w:t>
      </w:r>
    </w:p>
    <w:p>
      <w:pPr>
        <w:bidi w:val="0"/>
        <w:spacing w:before="120" w:beforeAutospacing="0" w:after="280" w:afterAutospacing="1"/>
        <w:rPr>
          <w:rtl w:val="0"/>
        </w:rPr>
      </w:pPr>
      <w:r>
        <w:rPr>
          <w:b/>
          <w:bCs/>
          <w:rtl w:val="0"/>
        </w:rPr>
        <w:t>Lời nói đầu</w:t>
      </w:r>
    </w:p>
    <w:p>
      <w:pPr>
        <w:bidi w:val="0"/>
        <w:spacing w:before="120" w:beforeAutospacing="0" w:after="280" w:afterAutospacing="1"/>
        <w:rPr>
          <w:rtl w:val="0"/>
        </w:rPr>
      </w:pPr>
      <w:r>
        <w:rPr>
          <w:rtl w:val="0"/>
        </w:rPr>
        <w:t xml:space="preserve">Sửa đổi 01:2026 QCVN 03A:2020/BCT sửa đổi một số quy định của </w:t>
      </w:r>
      <w:bookmarkStart w:id="25" w:name="tvpllink_kjoquxgssc"/>
      <w:r>
        <w:rPr>
          <w:rtl w:val="0"/>
        </w:rPr>
        <w:t>QCVN 03A:2020/BCT</w:t>
      </w:r>
      <w:bookmarkEnd w:id="25"/>
      <w:r>
        <w:rPr>
          <w:rtl w:val="0"/>
        </w:rPr>
        <w:t xml:space="preserve">. </w:t>
      </w:r>
    </w:p>
    <w:p>
      <w:pPr>
        <w:bidi w:val="0"/>
        <w:spacing w:before="120" w:beforeAutospacing="0" w:after="280" w:afterAutospacing="1"/>
        <w:rPr>
          <w:rtl w:val="0"/>
        </w:rPr>
      </w:pPr>
      <w:r>
        <w:rPr>
          <w:rtl w:val="0"/>
        </w:rPr>
        <w:t>Sửa đổi 01:2026 QCVN 03A:2020/BCT do Tổ soạn thảo Thông tư của Bộ trưởng Bộ Công Thương ban hành các Sửa đổi quy chuẩn kỹ thuật quốc gia về chất lượng natri hydroxit công nghiệp, chất lượng Poly aluminium chloride (PAC), chất lượng amoniac công nghiệp biên soạn, Cục Hóa chất trình duyệt, Bộ Khoa học và Công nghệ có ý kiến, Bộ trưởng Bộ Công Thương ban hành kèm theo Thông tư số 38/2026/TT-BCT ngày 30 tháng 6 năm 2026.</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QUY CHUẨN KỸ THUẬT QUỐC GIA VỀ CHẤT LƯỢNG NATRI HYDROXIT CÔNG NGHIỆP</w:t>
      </w:r>
    </w:p>
    <w:p>
      <w:pPr>
        <w:bidi w:val="0"/>
        <w:spacing w:before="120" w:beforeAutospacing="0" w:after="280" w:afterAutospacing="1"/>
        <w:jc w:val="center"/>
        <w:rPr>
          <w:rtl w:val="0"/>
        </w:rPr>
      </w:pPr>
      <w:r>
        <w:rPr>
          <w:b/>
          <w:bCs/>
          <w:i/>
          <w:iCs/>
          <w:rtl w:val="0"/>
        </w:rPr>
        <w:t>National technical regulation on quality of Industrial sodium hydroxide</w:t>
      </w:r>
    </w:p>
    <w:p>
      <w:pPr>
        <w:bidi w:val="0"/>
        <w:spacing w:before="120" w:beforeAutospacing="0" w:after="280" w:afterAutospacing="1"/>
        <w:rPr>
          <w:rtl w:val="0"/>
        </w:rPr>
      </w:pPr>
      <w:r>
        <w:rPr>
          <w:rtl w:val="0"/>
        </w:rPr>
        <w:t xml:space="preserve">Sửa đổi 01:2026 QCVN 03A:2020/BCT sửa đổi những nội dung sau của </w:t>
      </w:r>
      <w:bookmarkStart w:id="26" w:name="tvpllink_kjoquxgssc_1"/>
      <w:r>
        <w:rPr>
          <w:rtl w:val="0"/>
        </w:rPr>
        <w:t>QCVN 03A:2020/BCT</w:t>
      </w:r>
      <w:bookmarkEnd w:id="26"/>
      <w:r>
        <w:rPr>
          <w:rtl w:val="0"/>
        </w:rPr>
        <w:t>.</w:t>
      </w:r>
    </w:p>
    <w:p>
      <w:pPr>
        <w:bidi w:val="0"/>
        <w:spacing w:before="120" w:beforeAutospacing="0" w:after="280" w:afterAutospacing="1"/>
        <w:rPr>
          <w:rtl w:val="0"/>
        </w:rPr>
      </w:pPr>
      <w:bookmarkStart w:id="27" w:name="muc_1_pl"/>
      <w:r>
        <w:rPr>
          <w:b/>
          <w:bCs/>
          <w:rtl w:val="0"/>
        </w:rPr>
        <w:t>I. Quy định chung</w:t>
      </w:r>
      <w:bookmarkEnd w:id="27"/>
    </w:p>
    <w:p>
      <w:pPr>
        <w:bidi w:val="0"/>
        <w:spacing w:before="120" w:beforeAutospacing="0" w:after="280" w:afterAutospacing="1"/>
        <w:rPr>
          <w:rtl w:val="0"/>
        </w:rPr>
      </w:pPr>
      <w:r>
        <w:rPr>
          <w:b/>
          <w:bCs/>
          <w:rtl w:val="0"/>
        </w:rPr>
        <w:t xml:space="preserve">1. Sửa đổi </w:t>
      </w:r>
      <w:bookmarkStart w:id="28" w:name="dc_1"/>
      <w:r>
        <w:rPr>
          <w:b/>
          <w:bCs/>
          <w:rtl w:val="0"/>
        </w:rPr>
        <w:t>khoản 1</w:t>
      </w:r>
      <w:bookmarkEnd w:id="28"/>
      <w:r>
        <w:rPr>
          <w:b/>
          <w:bCs/>
          <w:rtl w:val="0"/>
        </w:rPr>
        <w:t xml:space="preserve"> như sau: </w:t>
      </w:r>
    </w:p>
    <w:p>
      <w:pPr>
        <w:bidi w:val="0"/>
        <w:spacing w:before="120" w:beforeAutospacing="0" w:after="280" w:afterAutospacing="1"/>
        <w:rPr>
          <w:rtl w:val="0"/>
        </w:rPr>
      </w:pPr>
      <w:r>
        <w:rPr>
          <w:b/>
          <w:bCs/>
          <w:rtl w:val="0"/>
        </w:rPr>
        <w:t>1. Phạm vi điều chỉnh</w:t>
      </w:r>
    </w:p>
    <w:p>
      <w:pPr>
        <w:bidi w:val="0"/>
        <w:spacing w:before="120" w:beforeAutospacing="0" w:after="280" w:afterAutospacing="1"/>
        <w:rPr>
          <w:rtl w:val="0"/>
        </w:rPr>
      </w:pPr>
      <w:r>
        <w:rPr>
          <w:rtl w:val="0"/>
        </w:rPr>
        <w:t>Quy chuẩn này quy định về yêu cầu kỹ thuật, phương pháp thử và các quy định về quản lý đối với Natri hydroxit công nghiệp (NaOH) sản xuất, nhập khẩu, kinh doanh, vận chuyển trên lãnh thổ Việt Nam.</w:t>
      </w:r>
    </w:p>
    <w:p>
      <w:pPr>
        <w:bidi w:val="0"/>
        <w:spacing w:before="120" w:beforeAutospacing="0" w:after="280" w:afterAutospacing="1"/>
        <w:rPr>
          <w:rtl w:val="0"/>
        </w:rPr>
      </w:pPr>
      <w:r>
        <w:rPr>
          <w:rtl w:val="0"/>
        </w:rPr>
        <w:t xml:space="preserve">Natri hydroxit công nghiệp chịu sự điều chỉnh của Quy chuẩn này được quy định tại Thông tư số </w:t>
      </w:r>
      <w:bookmarkStart w:id="29" w:name="tvpllink_gbwsemqgvw"/>
      <w:r>
        <w:rPr>
          <w:rtl w:val="0"/>
        </w:rPr>
        <w:t>33/2026/TT-BCT</w:t>
      </w:r>
      <w:bookmarkEnd w:id="29"/>
      <w:r>
        <w:rPr>
          <w:rtl w:val="0"/>
        </w:rPr>
        <w:t xml:space="preserve"> ngày 30 tháng 6 năm 2026 của Bộ trưởng Bộ Công Thương ban hành Danh mục sản phẩm, hàng hóa có mức độ rủi ro trung bình, mức độ rủi ro cao thuộc trách nhiệm quản lý nhà nước của Bộ Công Thương.</w:t>
      </w:r>
    </w:p>
    <w:p>
      <w:pPr>
        <w:bidi w:val="0"/>
        <w:spacing w:before="120" w:beforeAutospacing="0" w:after="280" w:afterAutospacing="1"/>
        <w:rPr>
          <w:rtl w:val="0"/>
        </w:rPr>
      </w:pPr>
      <w:r>
        <w:rPr>
          <w:rtl w:val="0"/>
        </w:rPr>
        <w:t>Quy chuẩn này không áp dụng đối với Natri hydroxit tinh khiết và Natri hydroxit thực phẩm.</w:t>
      </w:r>
    </w:p>
    <w:p>
      <w:pPr>
        <w:bidi w:val="0"/>
        <w:spacing w:before="120" w:beforeAutospacing="0" w:after="280" w:afterAutospacing="1"/>
        <w:rPr>
          <w:rtl w:val="0"/>
        </w:rPr>
      </w:pPr>
      <w:bookmarkStart w:id="30" w:name="muc_2_pl"/>
      <w:r>
        <w:rPr>
          <w:b/>
          <w:bCs/>
          <w:rtl w:val="0"/>
        </w:rPr>
        <w:t>II. Quy định về kỹ thuật</w:t>
      </w:r>
      <w:bookmarkEnd w:id="30"/>
    </w:p>
    <w:p>
      <w:pPr>
        <w:bidi w:val="0"/>
        <w:spacing w:before="120" w:beforeAutospacing="0" w:after="280" w:afterAutospacing="1"/>
        <w:rPr>
          <w:rtl w:val="0"/>
        </w:rPr>
      </w:pPr>
      <w:r>
        <w:rPr>
          <w:b/>
          <w:bCs/>
          <w:rtl w:val="0"/>
        </w:rPr>
        <w:t xml:space="preserve">1. Sửa đổi </w:t>
      </w:r>
      <w:bookmarkStart w:id="31" w:name="dc_2"/>
      <w:r>
        <w:rPr>
          <w:b/>
          <w:bCs/>
          <w:rtl w:val="0"/>
        </w:rPr>
        <w:t>khoản 3</w:t>
      </w:r>
      <w:bookmarkEnd w:id="31"/>
      <w:r>
        <w:rPr>
          <w:b/>
          <w:bCs/>
          <w:rtl w:val="0"/>
        </w:rPr>
        <w:t xml:space="preserve"> như sau:</w:t>
      </w:r>
    </w:p>
    <w:p>
      <w:pPr>
        <w:bidi w:val="0"/>
        <w:spacing w:before="120" w:beforeAutospacing="0" w:after="280" w:afterAutospacing="1"/>
        <w:rPr>
          <w:rtl w:val="0"/>
        </w:rPr>
      </w:pPr>
      <w:r>
        <w:rPr>
          <w:b/>
          <w:bCs/>
          <w:rtl w:val="0"/>
        </w:rPr>
        <w:t>3.1. Ghi nhãn</w:t>
      </w:r>
    </w:p>
    <w:p>
      <w:pPr>
        <w:bidi w:val="0"/>
        <w:spacing w:before="120" w:beforeAutospacing="0" w:after="280" w:afterAutospacing="1"/>
        <w:rPr>
          <w:rtl w:val="0"/>
        </w:rPr>
      </w:pPr>
      <w:r>
        <w:rPr>
          <w:rtl w:val="0"/>
        </w:rPr>
        <w:t xml:space="preserve">Ghi nhãn hóa chất theo quy định tại Nghị định số </w:t>
      </w:r>
      <w:bookmarkStart w:id="32" w:name="tvpllink_lpeisttiyk_1"/>
      <w:r>
        <w:rPr>
          <w:rtl w:val="0"/>
        </w:rPr>
        <w:t>37/2026/NĐ-CP</w:t>
      </w:r>
      <w:bookmarkEnd w:id="32"/>
      <w:r>
        <w:rPr>
          <w:rtl w:val="0"/>
        </w:rPr>
        <w:t xml:space="preserve"> ngày 23 tháng 01 năm 2026 của Chính phủ quy định chi tiết một số điều và biện pháp để tổ chức, hướng dẫn thi hành </w:t>
      </w:r>
      <w:bookmarkStart w:id="33" w:name="tvpllink_mhyivazsmk_2"/>
      <w:r>
        <w:rPr>
          <w:rtl w:val="0"/>
        </w:rPr>
        <w:t>Luật Chất lượng sản phẩm, hàng hóa</w:t>
      </w:r>
      <w:bookmarkEnd w:id="33"/>
      <w:r>
        <w:rPr>
          <w:rtl w:val="0"/>
        </w:rPr>
        <w:t xml:space="preserve"> và các quy định pháp luật về ghi nhãn hiện hành.</w:t>
      </w:r>
    </w:p>
    <w:p>
      <w:pPr>
        <w:bidi w:val="0"/>
        <w:spacing w:before="120" w:beforeAutospacing="0" w:after="280" w:afterAutospacing="1"/>
        <w:rPr>
          <w:rtl w:val="0"/>
        </w:rPr>
      </w:pPr>
      <w:r>
        <w:rPr>
          <w:b/>
          <w:bCs/>
          <w:rtl w:val="0"/>
        </w:rPr>
        <w:t>3.2. Vận chuyển</w:t>
      </w:r>
    </w:p>
    <w:p>
      <w:pPr>
        <w:bidi w:val="0"/>
        <w:spacing w:before="120" w:beforeAutospacing="0" w:after="280" w:afterAutospacing="1"/>
        <w:rPr>
          <w:rtl w:val="0"/>
        </w:rPr>
      </w:pPr>
      <w:r>
        <w:rPr>
          <w:rtl w:val="0"/>
        </w:rPr>
        <w:t xml:space="preserve">Vận chuyển Natri hydroxit công nghiệp theo quy định tại Nghị định số </w:t>
      </w:r>
      <w:bookmarkStart w:id="34" w:name="tvpllink_cgqsyeiahy"/>
      <w:r>
        <w:rPr>
          <w:rtl w:val="0"/>
        </w:rPr>
        <w:t>34/2024/NĐ-CP</w:t>
      </w:r>
      <w:bookmarkEnd w:id="34"/>
      <w:r>
        <w:rPr>
          <w:rtl w:val="0"/>
        </w:rPr>
        <w:t xml:space="preserve"> ngày 31 tháng 3 năm 2024 của Chính phủ quy định Danh mục hàng hóa nguy hiểm, vận chuyển hàng hóa nguy hiểm bằng phương tiện giao thông cơ giới đường bộ và phương tiện thủy nội địa, được sửa đổi bổ sung tại Nghị định số </w:t>
      </w:r>
      <w:bookmarkStart w:id="35" w:name="tvpllink_wnirjbicau"/>
      <w:r>
        <w:rPr>
          <w:rtl w:val="0"/>
        </w:rPr>
        <w:t>161/2024/NĐ-CP</w:t>
      </w:r>
      <w:bookmarkEnd w:id="35"/>
      <w:r>
        <w:rPr>
          <w:rtl w:val="0"/>
        </w:rPr>
        <w:t xml:space="preserve"> ngày ngày 18 tháng 12 năm 2024 của Chính phủ về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p>
    <w:p>
      <w:pPr>
        <w:bidi w:val="0"/>
        <w:spacing w:before="120" w:beforeAutospacing="0" w:after="280" w:afterAutospacing="1"/>
        <w:rPr>
          <w:rtl w:val="0"/>
        </w:rPr>
      </w:pPr>
      <w:bookmarkStart w:id="36" w:name="muc_3_pl"/>
      <w:r>
        <w:rPr>
          <w:b/>
          <w:bCs/>
          <w:rtl w:val="0"/>
        </w:rPr>
        <w:t>III. Quy định về quản lý</w:t>
      </w:r>
      <w:bookmarkEnd w:id="36"/>
    </w:p>
    <w:p>
      <w:pPr>
        <w:bidi w:val="0"/>
        <w:spacing w:before="120" w:beforeAutospacing="0" w:after="280" w:afterAutospacing="1"/>
        <w:rPr>
          <w:rtl w:val="0"/>
        </w:rPr>
      </w:pPr>
      <w:r>
        <w:rPr>
          <w:b/>
          <w:bCs/>
          <w:rtl w:val="0"/>
        </w:rPr>
        <w:t xml:space="preserve">1. Sửa đổi </w:t>
      </w:r>
      <w:bookmarkStart w:id="37" w:name="dc_3"/>
      <w:r>
        <w:rPr>
          <w:b/>
          <w:bCs/>
          <w:rtl w:val="0"/>
        </w:rPr>
        <w:t>điểm 1.2 khoản 1</w:t>
      </w:r>
      <w:bookmarkEnd w:id="37"/>
      <w:r>
        <w:rPr>
          <w:b/>
          <w:bCs/>
          <w:rtl w:val="0"/>
        </w:rPr>
        <w:t xml:space="preserve"> như sau:</w:t>
      </w:r>
    </w:p>
    <w:p>
      <w:pPr>
        <w:bidi w:val="0"/>
        <w:spacing w:before="120" w:beforeAutospacing="0" w:after="280" w:afterAutospacing="1"/>
        <w:rPr>
          <w:rtl w:val="0"/>
        </w:rPr>
      </w:pPr>
      <w:r>
        <w:rPr>
          <w:rtl w:val="0"/>
        </w:rPr>
        <w:t xml:space="preserve">1.2. Việc công bố hợp quy đối với Natri hydroxit công nghiệp được thực hiện theo quy định </w:t>
      </w:r>
      <w:bookmarkStart w:id="38" w:name="dc_4"/>
      <w:r>
        <w:rPr>
          <w:rtl w:val="0"/>
        </w:rPr>
        <w:t>Điều 13 Thông tư số 14/2026/TT-BKHCN</w:t>
      </w:r>
      <w:bookmarkEnd w:id="38"/>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r>
        <w:rPr>
          <w:b/>
          <w:bCs/>
          <w:rtl w:val="0"/>
        </w:rPr>
        <w:t xml:space="preserve">2. Sửa đổi </w:t>
      </w:r>
      <w:bookmarkStart w:id="39" w:name="dc_5"/>
      <w:r>
        <w:rPr>
          <w:b/>
          <w:bCs/>
          <w:rtl w:val="0"/>
        </w:rPr>
        <w:t>khoản 2</w:t>
      </w:r>
      <w:bookmarkEnd w:id="39"/>
      <w:r>
        <w:rPr>
          <w:b/>
          <w:bCs/>
          <w:rtl w:val="0"/>
        </w:rPr>
        <w:t xml:space="preserve"> như sau:</w:t>
      </w:r>
    </w:p>
    <w:p>
      <w:pPr>
        <w:bidi w:val="0"/>
        <w:spacing w:before="120" w:beforeAutospacing="0" w:after="280" w:afterAutospacing="1"/>
        <w:rPr>
          <w:rtl w:val="0"/>
        </w:rPr>
      </w:pPr>
      <w:r>
        <w:rPr>
          <w:b/>
          <w:bCs/>
          <w:rtl w:val="0"/>
        </w:rPr>
        <w:t>2. Quy định về đánh giá sự phù hợp</w:t>
      </w:r>
    </w:p>
    <w:p>
      <w:pPr>
        <w:bidi w:val="0"/>
        <w:spacing w:before="120" w:beforeAutospacing="0" w:after="280" w:afterAutospacing="1"/>
        <w:rPr>
          <w:rtl w:val="0"/>
        </w:rPr>
      </w:pPr>
      <w:r>
        <w:rPr>
          <w:rtl w:val="0"/>
        </w:rPr>
        <w:t>2.1. Việc đánh giá sự phù hợp</w:t>
      </w:r>
    </w:p>
    <w:p>
      <w:pPr>
        <w:bidi w:val="0"/>
        <w:spacing w:before="120" w:beforeAutospacing="0" w:after="280" w:afterAutospacing="1"/>
        <w:rPr>
          <w:rtl w:val="0"/>
        </w:rPr>
      </w:pPr>
      <w:r>
        <w:rPr>
          <w:rtl w:val="0"/>
        </w:rPr>
        <w:t xml:space="preserve">- Hoạt động nhập khẩu Natri hydroxit công nghiệp: Thực hiện theo phương thức 1 quy định tại Phụ lục II của Thông tư số </w:t>
      </w:r>
      <w:bookmarkStart w:id="40" w:name="tvpllink_jtswjzgwzu"/>
      <w:r>
        <w:rPr>
          <w:rtl w:val="0"/>
        </w:rPr>
        <w:t>14/2026/TT-BKHCN</w:t>
      </w:r>
      <w:bookmarkEnd w:id="40"/>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r>
        <w:rPr>
          <w:rtl w:val="0"/>
        </w:rPr>
        <w:t xml:space="preserve">- Hoạt động sản xuất Natri hydroxit công nghiệp trong nước: Thực hiện theo phương thức 5 quy định tại Phụ lục II của Thông tư số </w:t>
      </w:r>
      <w:bookmarkStart w:id="41" w:name="tvpllink_jtswjzgwzu_1"/>
      <w:r>
        <w:rPr>
          <w:rtl w:val="0"/>
        </w:rPr>
        <w:t>14/2026/TT-BKHCN</w:t>
      </w:r>
      <w:bookmarkEnd w:id="41"/>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r>
        <w:rPr>
          <w:rtl w:val="0"/>
        </w:rPr>
        <w:t>2.2. Tổ chức đánh giá sự phù hợp theo pháp luật về tiêu chuẩn, quy chuẩn kỹ thuật và chất lượng sản phẩm hàng hóa.</w:t>
      </w:r>
    </w:p>
    <w:p>
      <w:pPr>
        <w:bidi w:val="0"/>
        <w:spacing w:before="120" w:beforeAutospacing="0" w:after="280" w:afterAutospacing="1"/>
        <w:rPr>
          <w:rtl w:val="0"/>
        </w:rPr>
      </w:pPr>
      <w:r>
        <w:rPr>
          <w:b/>
          <w:bCs/>
          <w:rtl w:val="0"/>
        </w:rPr>
        <w:t xml:space="preserve">3. Sửa đổi </w:t>
      </w:r>
      <w:bookmarkStart w:id="42" w:name="dc_6"/>
      <w:r>
        <w:rPr>
          <w:b/>
          <w:bCs/>
          <w:rtl w:val="0"/>
        </w:rPr>
        <w:t>khoản 3</w:t>
      </w:r>
      <w:bookmarkEnd w:id="42"/>
      <w:r>
        <w:rPr>
          <w:b/>
          <w:bCs/>
          <w:rtl w:val="0"/>
        </w:rPr>
        <w:t xml:space="preserve"> như sau:</w:t>
      </w:r>
    </w:p>
    <w:p>
      <w:pPr>
        <w:bidi w:val="0"/>
        <w:spacing w:before="120" w:beforeAutospacing="0" w:after="280" w:afterAutospacing="1"/>
        <w:rPr>
          <w:rtl w:val="0"/>
        </w:rPr>
      </w:pPr>
      <w:r>
        <w:rPr>
          <w:b/>
          <w:bCs/>
          <w:rtl w:val="0"/>
        </w:rPr>
        <w:t>3. Quy định về sử dụng dấu hợp quy</w:t>
      </w:r>
    </w:p>
    <w:p>
      <w:pPr>
        <w:bidi w:val="0"/>
        <w:spacing w:before="120" w:beforeAutospacing="0" w:after="280" w:afterAutospacing="1"/>
        <w:rPr>
          <w:rtl w:val="0"/>
        </w:rPr>
      </w:pPr>
      <w:r>
        <w:rPr>
          <w:rtl w:val="0"/>
        </w:rPr>
        <w:t xml:space="preserve">Việc sử dụng dấu hợp quy phải tuân thủ theo quy định tại </w:t>
      </w:r>
      <w:bookmarkStart w:id="43" w:name="dc_7"/>
      <w:r>
        <w:rPr>
          <w:rtl w:val="0"/>
        </w:rPr>
        <w:t>khoản 2 Điều 4 Thông tư số 14/2026/TT-BKHCN</w:t>
      </w:r>
      <w:bookmarkEnd w:id="43"/>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bookmarkStart w:id="44" w:name="muc_4_pl"/>
      <w:r>
        <w:rPr>
          <w:b/>
          <w:bCs/>
          <w:rtl w:val="0"/>
        </w:rPr>
        <w:t>IV. Trách nhiệm của tổ chức, cá nhân</w:t>
      </w:r>
      <w:bookmarkEnd w:id="44"/>
      <w:r>
        <w:rPr>
          <w:b/>
          <w:bCs/>
          <w:rtl w:val="0"/>
        </w:rPr>
        <w:t xml:space="preserve"> </w:t>
      </w:r>
    </w:p>
    <w:p>
      <w:pPr>
        <w:bidi w:val="0"/>
        <w:spacing w:before="120" w:beforeAutospacing="0" w:after="280" w:afterAutospacing="1"/>
        <w:rPr>
          <w:rtl w:val="0"/>
        </w:rPr>
      </w:pPr>
      <w:r>
        <w:rPr>
          <w:b/>
          <w:bCs/>
          <w:rtl w:val="0"/>
        </w:rPr>
        <w:t xml:space="preserve">1. Sửa đổi </w:t>
      </w:r>
      <w:bookmarkStart w:id="45" w:name="dc_8"/>
      <w:r>
        <w:rPr>
          <w:b/>
          <w:bCs/>
          <w:rtl w:val="0"/>
        </w:rPr>
        <w:t>khoản 2</w:t>
      </w:r>
      <w:bookmarkEnd w:id="45"/>
      <w:r>
        <w:rPr>
          <w:b/>
          <w:bCs/>
          <w:rtl w:val="0"/>
        </w:rPr>
        <w:t xml:space="preserve"> như sau:</w:t>
      </w:r>
    </w:p>
    <w:p>
      <w:pPr>
        <w:bidi w:val="0"/>
        <w:spacing w:before="120" w:beforeAutospacing="0" w:after="280" w:afterAutospacing="1"/>
        <w:rPr>
          <w:rtl w:val="0"/>
        </w:rPr>
      </w:pPr>
      <w:r>
        <w:rPr>
          <w:rtl w:val="0"/>
        </w:rPr>
        <w:t xml:space="preserve">2. Tổ chức, cá nhân sản xuất, nhập khẩu, kinh doanh Natri hydroxit công nghiệp sau khi công bố hợp quy phải thực hiện đăng ký bản công bố hợp quy thông qua Cơ sở dữ liệu quốc gia về tiêu chuẩn, đo lường, chất lượng. Trường hợp Cơ sở dữ liệu quốc gia về tiêu chuẩn, đo lường, chất lượng chưa đáp ứng yêu cầu về hạ tầng kỹ thuật hoặc không thể thực hiện do sự cố kỹ thuật, việc đăng ký bản công bố hợp quy được thực hiện theo hình thức nộp trực tiếp hoặc thông qua dịch vụ bưu chính theo quy định tại </w:t>
      </w:r>
      <w:bookmarkStart w:id="46" w:name="dc_9"/>
      <w:r>
        <w:rPr>
          <w:rtl w:val="0"/>
        </w:rPr>
        <w:t>Điều 13 Thông tư số 14/2026/TT-BKHCN</w:t>
      </w:r>
      <w:bookmarkEnd w:id="46"/>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bookmarkStart w:id="47" w:name="muc_5_pl"/>
      <w:r>
        <w:rPr>
          <w:b/>
          <w:bCs/>
          <w:rtl w:val="0"/>
        </w:rPr>
        <w:t>V. Tổ chức thực hiện</w:t>
      </w:r>
      <w:bookmarkEnd w:id="47"/>
    </w:p>
    <w:p>
      <w:pPr>
        <w:bidi w:val="0"/>
        <w:spacing w:before="120" w:beforeAutospacing="0" w:after="280" w:afterAutospacing="1"/>
        <w:rPr>
          <w:rtl w:val="0"/>
        </w:rPr>
      </w:pPr>
      <w:r>
        <w:rPr>
          <w:b/>
          <w:bCs/>
          <w:rtl w:val="0"/>
        </w:rPr>
        <w:t xml:space="preserve">1. Sửa đổi </w:t>
      </w:r>
      <w:bookmarkStart w:id="48" w:name="dc_10"/>
      <w:r>
        <w:rPr>
          <w:b/>
          <w:bCs/>
          <w:rtl w:val="0"/>
        </w:rPr>
        <w:t>khoản 2, khoản 3, khoản 4</w:t>
      </w:r>
      <w:bookmarkEnd w:id="48"/>
      <w:r>
        <w:rPr>
          <w:b/>
          <w:bCs/>
          <w:rtl w:val="0"/>
        </w:rPr>
        <w:t xml:space="preserve"> như sau:</w:t>
      </w:r>
    </w:p>
    <w:p>
      <w:pPr>
        <w:bidi w:val="0"/>
        <w:spacing w:before="120" w:beforeAutospacing="0" w:after="280" w:afterAutospacing="1"/>
        <w:rPr>
          <w:rtl w:val="0"/>
        </w:rPr>
      </w:pPr>
      <w:r>
        <w:rPr>
          <w:rtl w:val="0"/>
        </w:rPr>
        <w:t>2. Cục Quản lý và Phát triển thị trường trong nước có trách nhiệm chủ trì, phối hợp với các cơ quan, tổ chức có liên quan thực hiện kiểm tra, kiểm soát và xử lý vi phạm đối với chất lượng Natri hydroxit công nghiệp trên thị trường theo Quy chuẩn này và quy định của pháp luật hiện hành.</w:t>
      </w:r>
    </w:p>
    <w:p>
      <w:pPr>
        <w:bidi w:val="0"/>
        <w:spacing w:before="120" w:beforeAutospacing="0" w:after="280" w:afterAutospacing="1"/>
        <w:rPr>
          <w:rtl w:val="0"/>
        </w:rPr>
      </w:pPr>
      <w:r>
        <w:rPr>
          <w:rtl w:val="0"/>
        </w:rPr>
        <w:t>3. Trường hợp các văn bản quy phạm pháp luật, tài liệu, tiêu chuẩn được viện dẫn trong Quy chuẩn này có sự thay đổi, bổ sung hoặc thay thế thì thực hiện theo quy định tại văn bản mới./.</w:t>
      </w:r>
    </w:p>
    <w:p>
      <w:pPr>
        <w:bidi w:val="0"/>
        <w:spacing w:before="120" w:beforeAutospacing="0" w:after="280" w:afterAutospacing="1"/>
        <w:rPr>
          <w:rtl w:val="0"/>
        </w:rPr>
      </w:pPr>
      <w:bookmarkStart w:id="49" w:name="muc_6_pl"/>
      <w:r>
        <w:rPr>
          <w:b/>
          <w:bCs/>
          <w:rtl w:val="0"/>
        </w:rPr>
        <w:t>VI. Bãi bỏ Phụ lục Danh mục sản phẩm Natri hydroxit công nghiệp.</w:t>
      </w:r>
      <w:bookmarkEnd w:id="49"/>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50" w:name="chuong_pl_2"/>
      <w:r>
        <w:rPr>
          <w:b/>
          <w:bCs/>
          <w:rtl w:val="0"/>
        </w:rPr>
        <w:t>PHỤ LỤC II</w:t>
      </w:r>
      <w:bookmarkEnd w:id="50"/>
    </w:p>
    <w:p>
      <w:pPr>
        <w:bidi w:val="0"/>
        <w:spacing w:before="120" w:beforeAutospacing="0" w:after="280" w:afterAutospacing="1"/>
        <w:jc w:val="center"/>
        <w:rPr>
          <w:rtl w:val="0"/>
        </w:rPr>
      </w:pPr>
      <w:r>
        <w:rPr>
          <w:i/>
          <w:iCs/>
          <w:rtl w:val="0"/>
        </w:rPr>
        <w:t>(Ban hành kèm theo Thông tư số 38/2026/TT-BCT ngày 30 tháng 6 năm 2026 của Bộ trưởng Bộ Công Thương)</w:t>
      </w:r>
    </w:p>
    <w:p>
      <w:pPr>
        <w:bidi w:val="0"/>
        <w:spacing w:before="120" w:beforeAutospacing="0" w:after="280" w:afterAutospacing="1"/>
        <w:jc w:val="center"/>
        <w:rPr>
          <w:rtl w:val="0"/>
        </w:rPr>
      </w:pPr>
      <w:bookmarkStart w:id="51" w:name="chuong_pl_2_name"/>
      <w:r>
        <w:rPr>
          <w:b/>
          <w:bCs/>
          <w:rtl w:val="0"/>
        </w:rPr>
        <w:t>SỬA ĐỔI 01:2026 QCVN 06A:2020/BCT QUY CHUẨN KỸ THUẬT QUỐC GIA VỀ CHẤT LƯỢNG POLY ALUMINIUM CHLORIDE (PAC)</w:t>
      </w:r>
      <w:bookmarkEnd w:id="51"/>
    </w:p>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b/>
          <w:bCs/>
          <w:rtl w:val="0"/>
        </w:rPr>
        <w:t xml:space="preserve">SỬA ĐỔI 01:2026 QCVN 06A:2020/BCT </w:t>
      </w:r>
    </w:p>
    <w:p>
      <w:pPr>
        <w:bidi w:val="0"/>
        <w:spacing w:before="120" w:beforeAutospacing="0" w:after="280" w:afterAutospacing="1"/>
        <w:jc w:val="center"/>
        <w:rPr>
          <w:rtl w:val="0"/>
        </w:rPr>
      </w:pPr>
      <w:r>
        <w:rPr>
          <w:b/>
          <w:bCs/>
          <w:rtl w:val="0"/>
        </w:rPr>
        <w:t xml:space="preserve">QUY CHUẨN KỸ THUẬT QUỐC GIA </w:t>
      </w:r>
      <w:r>
        <w:rPr>
          <w:b/>
          <w:bCs/>
          <w:rtl w:val="0"/>
        </w:rPr>
        <w:br/>
      </w:r>
      <w:r>
        <w:rPr>
          <w:b/>
          <w:bCs/>
          <w:rtl w:val="0"/>
        </w:rPr>
        <w:t>VỀ CHẤT LƯỢNG POLY ALUMINIUM CHLORIDE (PAC)</w:t>
      </w:r>
    </w:p>
    <w:p>
      <w:pPr>
        <w:bidi w:val="0"/>
        <w:spacing w:before="120" w:beforeAutospacing="0" w:after="280" w:afterAutospacing="1"/>
        <w:jc w:val="center"/>
        <w:rPr>
          <w:rtl w:val="0"/>
        </w:rPr>
      </w:pPr>
      <w:r>
        <w:rPr>
          <w:b/>
          <w:bCs/>
          <w:i/>
          <w:iCs/>
          <w:rtl w:val="0"/>
        </w:rPr>
        <w:t>Amendment 01:2026 QCVN 06A:2020/BCT</w:t>
      </w:r>
      <w:r>
        <w:rPr>
          <w:b/>
          <w:bCs/>
          <w:i/>
          <w:iCs/>
          <w:rtl w:val="0"/>
        </w:rPr>
        <w:br/>
      </w:r>
      <w:r>
        <w:rPr>
          <w:b/>
          <w:bCs/>
          <w:i/>
          <w:iCs/>
          <w:rtl w:val="0"/>
        </w:rPr>
        <w:t>National Technical Regulation on quality of Poly Aluminium Chloride</w:t>
      </w:r>
    </w:p>
    <w:p>
      <w:pPr>
        <w:bidi w:val="0"/>
        <w:spacing w:before="120" w:beforeAutospacing="0" w:after="280" w:afterAutospacing="1"/>
        <w:jc w:val="center"/>
        <w:rPr>
          <w:rtl w:val="0"/>
        </w:rPr>
      </w:pPr>
      <w:r>
        <w:rPr>
          <w:b/>
          <w:bCs/>
          <w:rtl w:val="0"/>
        </w:rPr>
        <w:t> </w:t>
      </w:r>
    </w:p>
    <w:p>
      <w:pPr>
        <w:bidi w:val="0"/>
        <w:spacing w:before="120" w:beforeAutospacing="0" w:after="280" w:afterAutospacing="1"/>
        <w:rPr>
          <w:rtl w:val="0"/>
        </w:rPr>
      </w:pPr>
      <w:r>
        <w:rPr>
          <w:b/>
          <w:bCs/>
          <w:rtl w:val="0"/>
        </w:rPr>
        <w:t>Lời nói đầu</w:t>
      </w:r>
    </w:p>
    <w:p>
      <w:pPr>
        <w:bidi w:val="0"/>
        <w:spacing w:before="120" w:beforeAutospacing="0" w:after="280" w:afterAutospacing="1"/>
        <w:rPr>
          <w:rtl w:val="0"/>
        </w:rPr>
      </w:pPr>
      <w:r>
        <w:rPr>
          <w:rtl w:val="0"/>
        </w:rPr>
        <w:t xml:space="preserve">Sửa đổi 01:2026 QCVN 06A:2020/BCT sửa đổi một số quy định của </w:t>
      </w:r>
      <w:bookmarkStart w:id="52" w:name="tvpllink_kwpqrbyymy"/>
      <w:r>
        <w:rPr>
          <w:rtl w:val="0"/>
        </w:rPr>
        <w:t>QCVN 06A:2020/BCT</w:t>
      </w:r>
      <w:bookmarkEnd w:id="52"/>
      <w:r>
        <w:rPr>
          <w:rtl w:val="0"/>
        </w:rPr>
        <w:t>.</w:t>
      </w:r>
    </w:p>
    <w:p>
      <w:pPr>
        <w:bidi w:val="0"/>
        <w:spacing w:before="120" w:beforeAutospacing="0" w:after="280" w:afterAutospacing="1"/>
        <w:rPr>
          <w:rtl w:val="0"/>
        </w:rPr>
      </w:pPr>
      <w:r>
        <w:rPr>
          <w:rtl w:val="0"/>
        </w:rPr>
        <w:t>Sửa đổi 01:2026 QCVN 06A:2020/BCT do Tổ soạn thảo Thông tư của Bộ trưởng Bộ Công Thương ban hành các Sửa đổi quy chuẩn kỹ thuật quốc gia về chất lượng natri hydroxit công nghiệp, chất lượng Poly aluminium chloride (PAC), chất lượng amoniac công nghiệp biên soạn, Cục Hóa chất trình duyệt, Bộ Khoa học và Công nghệ có ý kiến, Bộ trưởng Bộ Công Thương ban hành kèm theo Thông tư số 38/2026/TT-BCT ngày 30 tháng 6 năm 2026.</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QUY CHUẨN KỸ THUẬT QUỐC GIA VỀ CHẤT LƯỢNG POLY ALUMINIUM CHLORIDE (PAC)</w:t>
      </w:r>
    </w:p>
    <w:p>
      <w:pPr>
        <w:bidi w:val="0"/>
        <w:spacing w:before="120" w:beforeAutospacing="0" w:after="280" w:afterAutospacing="1"/>
        <w:jc w:val="center"/>
        <w:rPr>
          <w:rtl w:val="0"/>
        </w:rPr>
      </w:pPr>
      <w:r>
        <w:rPr>
          <w:b/>
          <w:bCs/>
          <w:i/>
          <w:iCs/>
          <w:rtl w:val="0"/>
        </w:rPr>
        <w:t>National Technical Regulation on quality of Poly Aluminium Chloride (PAC)</w:t>
      </w:r>
    </w:p>
    <w:p>
      <w:pPr>
        <w:bidi w:val="0"/>
        <w:spacing w:before="120" w:beforeAutospacing="0" w:after="280" w:afterAutospacing="1"/>
        <w:rPr>
          <w:rtl w:val="0"/>
        </w:rPr>
      </w:pPr>
      <w:r>
        <w:rPr>
          <w:rtl w:val="0"/>
        </w:rPr>
        <w:t xml:space="preserve">Sửa đổi 01:2026 QCVN 06A:2020/BCT sửa đổi những nội dung sau của </w:t>
      </w:r>
      <w:bookmarkStart w:id="53" w:name="tvpllink_kwpqrbyymy_1"/>
      <w:r>
        <w:rPr>
          <w:rtl w:val="0"/>
        </w:rPr>
        <w:t>QCVN 06A:2020/BCT</w:t>
      </w:r>
      <w:bookmarkEnd w:id="53"/>
      <w:r>
        <w:rPr>
          <w:rtl w:val="0"/>
        </w:rPr>
        <w:t>.</w:t>
      </w:r>
    </w:p>
    <w:p>
      <w:pPr>
        <w:bidi w:val="0"/>
        <w:spacing w:before="120" w:beforeAutospacing="0" w:after="280" w:afterAutospacing="1"/>
        <w:rPr>
          <w:rtl w:val="0"/>
        </w:rPr>
      </w:pPr>
      <w:bookmarkStart w:id="54" w:name="muc_1_pl_1"/>
      <w:r>
        <w:rPr>
          <w:b/>
          <w:bCs/>
          <w:rtl w:val="0"/>
        </w:rPr>
        <w:t>I. Quy định chung</w:t>
      </w:r>
      <w:bookmarkEnd w:id="54"/>
    </w:p>
    <w:p>
      <w:pPr>
        <w:bidi w:val="0"/>
        <w:spacing w:before="120" w:beforeAutospacing="0" w:after="280" w:afterAutospacing="1"/>
        <w:rPr>
          <w:rtl w:val="0"/>
        </w:rPr>
      </w:pPr>
      <w:r>
        <w:rPr>
          <w:b/>
          <w:bCs/>
          <w:rtl w:val="0"/>
        </w:rPr>
        <w:t xml:space="preserve">1. Sửa đổi </w:t>
      </w:r>
      <w:bookmarkStart w:id="55" w:name="dc_11"/>
      <w:r>
        <w:rPr>
          <w:b/>
          <w:bCs/>
          <w:rtl w:val="0"/>
        </w:rPr>
        <w:t>khoản 1</w:t>
      </w:r>
      <w:bookmarkEnd w:id="55"/>
      <w:r>
        <w:rPr>
          <w:b/>
          <w:bCs/>
          <w:rtl w:val="0"/>
        </w:rPr>
        <w:t xml:space="preserve"> như sau:</w:t>
      </w:r>
    </w:p>
    <w:p>
      <w:pPr>
        <w:bidi w:val="0"/>
        <w:spacing w:before="120" w:beforeAutospacing="0" w:after="280" w:afterAutospacing="1"/>
        <w:rPr>
          <w:rtl w:val="0"/>
        </w:rPr>
      </w:pPr>
      <w:r>
        <w:rPr>
          <w:b/>
          <w:bCs/>
          <w:rtl w:val="0"/>
        </w:rPr>
        <w:t xml:space="preserve">1. Phạm vi điều chỉnh </w:t>
      </w:r>
    </w:p>
    <w:p>
      <w:pPr>
        <w:bidi w:val="0"/>
        <w:spacing w:before="120" w:beforeAutospacing="0" w:after="280" w:afterAutospacing="1"/>
        <w:rPr>
          <w:rtl w:val="0"/>
        </w:rPr>
      </w:pPr>
      <w:r>
        <w:rPr>
          <w:rtl w:val="0"/>
        </w:rPr>
        <w:t>Quy chuẩn này quy định về yêu cầu kỹ thuật, phương pháp thử và các quy định về quản lý đối với Poly aluminium chloride (sau đây gọi tắt là PAC) sản xuất, nhập khẩu, kinh doanh trên lãnh thổ Việt Nam.</w:t>
      </w:r>
    </w:p>
    <w:p>
      <w:pPr>
        <w:bidi w:val="0"/>
        <w:spacing w:before="120" w:beforeAutospacing="0" w:after="280" w:afterAutospacing="1"/>
        <w:rPr>
          <w:rtl w:val="0"/>
        </w:rPr>
      </w:pPr>
      <w:r>
        <w:rPr>
          <w:rtl w:val="0"/>
        </w:rPr>
        <w:t xml:space="preserve">Poly aluminium chloride chịu sự điều chỉnh của Quy chuẩn này được quy định tại Thông tư số </w:t>
      </w:r>
      <w:bookmarkStart w:id="56" w:name="tvpllink_gbwsemqgvw_1"/>
      <w:r>
        <w:rPr>
          <w:rtl w:val="0"/>
        </w:rPr>
        <w:t>33/2026/TT-BCT</w:t>
      </w:r>
      <w:bookmarkEnd w:id="56"/>
      <w:r>
        <w:rPr>
          <w:rtl w:val="0"/>
        </w:rPr>
        <w:t xml:space="preserve"> ngày 30 tháng 6 năm 2026 của Bộ trưởng Bộ Công Thương ban hành Danh mục sản phẩm, hàng hóa có mức độ rủi ro trung bình, mức độ rủi ro cao thuộc trách nhiệm quản lý nhà nước của Bộ Công Thương.</w:t>
      </w:r>
    </w:p>
    <w:p>
      <w:pPr>
        <w:bidi w:val="0"/>
        <w:spacing w:before="120" w:beforeAutospacing="0" w:after="280" w:afterAutospacing="1"/>
        <w:rPr>
          <w:rtl w:val="0"/>
        </w:rPr>
      </w:pPr>
      <w:bookmarkStart w:id="57" w:name="muc_2_pl_1"/>
      <w:r>
        <w:rPr>
          <w:b/>
          <w:bCs/>
          <w:rtl w:val="0"/>
        </w:rPr>
        <w:t>II. Quy định về kỹ thuật</w:t>
      </w:r>
      <w:bookmarkEnd w:id="57"/>
    </w:p>
    <w:p>
      <w:pPr>
        <w:bidi w:val="0"/>
        <w:spacing w:before="120" w:beforeAutospacing="0" w:after="280" w:afterAutospacing="1"/>
        <w:rPr>
          <w:rtl w:val="0"/>
        </w:rPr>
      </w:pPr>
      <w:r>
        <w:rPr>
          <w:b/>
          <w:bCs/>
          <w:rtl w:val="0"/>
        </w:rPr>
        <w:t xml:space="preserve">1. Sửa đổi </w:t>
      </w:r>
      <w:bookmarkStart w:id="58" w:name="dc_12"/>
      <w:r>
        <w:rPr>
          <w:b/>
          <w:bCs/>
          <w:rtl w:val="0"/>
        </w:rPr>
        <w:t>khoản 3</w:t>
      </w:r>
      <w:bookmarkEnd w:id="58"/>
      <w:r>
        <w:rPr>
          <w:b/>
          <w:bCs/>
          <w:rtl w:val="0"/>
        </w:rPr>
        <w:t xml:space="preserve"> như sau:</w:t>
      </w:r>
    </w:p>
    <w:p>
      <w:pPr>
        <w:bidi w:val="0"/>
        <w:spacing w:before="120" w:beforeAutospacing="0" w:after="280" w:afterAutospacing="1"/>
        <w:rPr>
          <w:rtl w:val="0"/>
        </w:rPr>
      </w:pPr>
      <w:r>
        <w:rPr>
          <w:b/>
          <w:bCs/>
          <w:rtl w:val="0"/>
        </w:rPr>
        <w:t>3. Ghi nhãn</w:t>
      </w:r>
    </w:p>
    <w:p>
      <w:pPr>
        <w:bidi w:val="0"/>
        <w:spacing w:before="120" w:beforeAutospacing="0" w:after="280" w:afterAutospacing="1"/>
        <w:rPr>
          <w:rtl w:val="0"/>
        </w:rPr>
      </w:pPr>
      <w:r>
        <w:rPr>
          <w:rtl w:val="0"/>
        </w:rPr>
        <w:t xml:space="preserve">Ghi nhãn hóa chất theo quy định tại Nghị định số </w:t>
      </w:r>
      <w:bookmarkStart w:id="59" w:name="tvpllink_lpeisttiyk_2"/>
      <w:r>
        <w:rPr>
          <w:rtl w:val="0"/>
        </w:rPr>
        <w:t>37/2026/NĐ-CP</w:t>
      </w:r>
      <w:bookmarkEnd w:id="59"/>
      <w:r>
        <w:rPr>
          <w:rtl w:val="0"/>
        </w:rPr>
        <w:t xml:space="preserve"> ngày 23 tháng 01 năm 2026 của Chính phủ quy định chi tiết một số điều và biện pháp để tổ chức, hướng dẫn thi hành </w:t>
      </w:r>
      <w:bookmarkStart w:id="60" w:name="tvpllink_mhyivazsmk_3"/>
      <w:r>
        <w:rPr>
          <w:rtl w:val="0"/>
        </w:rPr>
        <w:t>Luật Chất lượng sản phẩm, hàng hóa</w:t>
      </w:r>
      <w:bookmarkEnd w:id="60"/>
      <w:r>
        <w:rPr>
          <w:rtl w:val="0"/>
        </w:rPr>
        <w:t xml:space="preserve"> và các quy định pháp luật về ghi nhãn hiện hành.</w:t>
      </w:r>
    </w:p>
    <w:p>
      <w:pPr>
        <w:bidi w:val="0"/>
        <w:spacing w:before="120" w:beforeAutospacing="0" w:after="280" w:afterAutospacing="1"/>
        <w:rPr>
          <w:rtl w:val="0"/>
        </w:rPr>
      </w:pPr>
      <w:bookmarkStart w:id="61" w:name="muc_3_pl_1"/>
      <w:r>
        <w:rPr>
          <w:b/>
          <w:bCs/>
          <w:rtl w:val="0"/>
        </w:rPr>
        <w:t>III. Quy định về quản lý</w:t>
      </w:r>
      <w:bookmarkEnd w:id="61"/>
    </w:p>
    <w:p>
      <w:pPr>
        <w:bidi w:val="0"/>
        <w:spacing w:before="120" w:beforeAutospacing="0" w:after="280" w:afterAutospacing="1"/>
        <w:rPr>
          <w:rtl w:val="0"/>
        </w:rPr>
      </w:pPr>
      <w:r>
        <w:rPr>
          <w:b/>
          <w:bCs/>
          <w:rtl w:val="0"/>
        </w:rPr>
        <w:t xml:space="preserve">1. Sửa đổi </w:t>
      </w:r>
      <w:bookmarkStart w:id="62" w:name="dc_13"/>
      <w:r>
        <w:rPr>
          <w:b/>
          <w:bCs/>
          <w:rtl w:val="0"/>
        </w:rPr>
        <w:t>điểm 1.2 khoản 1</w:t>
      </w:r>
      <w:bookmarkEnd w:id="62"/>
      <w:r>
        <w:rPr>
          <w:b/>
          <w:bCs/>
          <w:rtl w:val="0"/>
        </w:rPr>
        <w:t xml:space="preserve"> như sau:</w:t>
      </w:r>
    </w:p>
    <w:p>
      <w:pPr>
        <w:bidi w:val="0"/>
        <w:spacing w:before="120" w:beforeAutospacing="0" w:after="280" w:afterAutospacing="1"/>
        <w:rPr>
          <w:rtl w:val="0"/>
        </w:rPr>
      </w:pPr>
      <w:r>
        <w:rPr>
          <w:rtl w:val="0"/>
        </w:rPr>
        <w:t xml:space="preserve">1.2. Việc công bố hợp quy đối với PAC được thực hiện theo quy định tại </w:t>
      </w:r>
      <w:bookmarkStart w:id="63" w:name="dc_14"/>
      <w:r>
        <w:rPr>
          <w:rtl w:val="0"/>
        </w:rPr>
        <w:t>Điều 13 Thông tư 14/2026/TT-BKHCN</w:t>
      </w:r>
      <w:bookmarkEnd w:id="63"/>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r>
        <w:rPr>
          <w:b/>
          <w:bCs/>
          <w:rtl w:val="0"/>
        </w:rPr>
        <w:t xml:space="preserve">2. Sửa đổi </w:t>
      </w:r>
      <w:bookmarkStart w:id="64" w:name="dc_15"/>
      <w:r>
        <w:rPr>
          <w:b/>
          <w:bCs/>
          <w:rtl w:val="0"/>
        </w:rPr>
        <w:t>khoản 2</w:t>
      </w:r>
      <w:bookmarkEnd w:id="64"/>
      <w:r>
        <w:rPr>
          <w:b/>
          <w:bCs/>
          <w:rtl w:val="0"/>
        </w:rPr>
        <w:t xml:space="preserve"> như sau:</w:t>
      </w:r>
    </w:p>
    <w:p>
      <w:pPr>
        <w:bidi w:val="0"/>
        <w:spacing w:before="120" w:beforeAutospacing="0" w:after="280" w:afterAutospacing="1"/>
        <w:rPr>
          <w:rtl w:val="0"/>
        </w:rPr>
      </w:pPr>
      <w:r>
        <w:rPr>
          <w:b/>
          <w:bCs/>
          <w:rtl w:val="0"/>
        </w:rPr>
        <w:t>2. Quy định về đánh giá sự phù hợp</w:t>
      </w:r>
    </w:p>
    <w:p>
      <w:pPr>
        <w:bidi w:val="0"/>
        <w:spacing w:before="120" w:beforeAutospacing="0" w:after="280" w:afterAutospacing="1"/>
        <w:rPr>
          <w:rtl w:val="0"/>
        </w:rPr>
      </w:pPr>
      <w:r>
        <w:rPr>
          <w:rtl w:val="0"/>
        </w:rPr>
        <w:t>2.1. Việc đánh giá sự phù hợp</w:t>
      </w:r>
    </w:p>
    <w:p>
      <w:pPr>
        <w:bidi w:val="0"/>
        <w:spacing w:before="120" w:beforeAutospacing="0" w:after="280" w:afterAutospacing="1"/>
        <w:rPr>
          <w:rtl w:val="0"/>
        </w:rPr>
      </w:pPr>
      <w:r>
        <w:rPr>
          <w:rtl w:val="0"/>
        </w:rPr>
        <w:t xml:space="preserve">- Hoạt động nhập khẩu PAC: Thực hiện theo phương thức 1 quy định tại Phụ lục II của Thông tư số </w:t>
      </w:r>
      <w:bookmarkStart w:id="65" w:name="tvpllink_jtswjzgwzu_2"/>
      <w:r>
        <w:rPr>
          <w:rtl w:val="0"/>
        </w:rPr>
        <w:t>14/2026/TT-BKHCN</w:t>
      </w:r>
      <w:bookmarkEnd w:id="65"/>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r>
        <w:rPr>
          <w:rtl w:val="0"/>
        </w:rPr>
        <w:t xml:space="preserve">- Hoạt động sản xuất PAC trong nước: Thực hiện theo phương thức 5 quy định tại Phụ lục II của Thông tư số </w:t>
      </w:r>
      <w:bookmarkStart w:id="66" w:name="tvpllink_jtswjzgwzu_3"/>
      <w:r>
        <w:rPr>
          <w:rtl w:val="0"/>
        </w:rPr>
        <w:t>14/2026/TT-BKHCN</w:t>
      </w:r>
      <w:bookmarkEnd w:id="66"/>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r>
        <w:rPr>
          <w:rtl w:val="0"/>
        </w:rPr>
        <w:t>2.2. Tổ chức đánh giá sự phù hợp theo pháp luật về tiêu chuẩn, quy chuẩn kỹ thuật và chất lượng sản phẩm hàng hóa.</w:t>
      </w:r>
    </w:p>
    <w:p>
      <w:pPr>
        <w:bidi w:val="0"/>
        <w:spacing w:before="120" w:beforeAutospacing="0" w:after="280" w:afterAutospacing="1"/>
        <w:rPr>
          <w:rtl w:val="0"/>
        </w:rPr>
      </w:pPr>
      <w:r>
        <w:rPr>
          <w:b/>
          <w:bCs/>
          <w:rtl w:val="0"/>
        </w:rPr>
        <w:t xml:space="preserve">3. Sửa đổi </w:t>
      </w:r>
      <w:bookmarkStart w:id="67" w:name="dc_16"/>
      <w:r>
        <w:rPr>
          <w:b/>
          <w:bCs/>
          <w:rtl w:val="0"/>
        </w:rPr>
        <w:t>khoản 3</w:t>
      </w:r>
      <w:bookmarkEnd w:id="67"/>
      <w:r>
        <w:rPr>
          <w:b/>
          <w:bCs/>
          <w:rtl w:val="0"/>
        </w:rPr>
        <w:t xml:space="preserve"> như sau:</w:t>
      </w:r>
    </w:p>
    <w:p>
      <w:pPr>
        <w:bidi w:val="0"/>
        <w:spacing w:before="120" w:beforeAutospacing="0" w:after="280" w:afterAutospacing="1"/>
        <w:rPr>
          <w:rtl w:val="0"/>
        </w:rPr>
      </w:pPr>
      <w:r>
        <w:rPr>
          <w:b/>
          <w:bCs/>
          <w:rtl w:val="0"/>
        </w:rPr>
        <w:t>3. Quy định về sử dụng dấu hợp quy</w:t>
      </w:r>
    </w:p>
    <w:p>
      <w:pPr>
        <w:bidi w:val="0"/>
        <w:spacing w:before="120" w:beforeAutospacing="0" w:after="280" w:afterAutospacing="1"/>
        <w:rPr>
          <w:rtl w:val="0"/>
        </w:rPr>
      </w:pPr>
      <w:r>
        <w:rPr>
          <w:rtl w:val="0"/>
        </w:rPr>
        <w:t xml:space="preserve">Việc sử dụng dấu hợp quy phải tuân thủ theo quy định tại </w:t>
      </w:r>
      <w:bookmarkStart w:id="68" w:name="dc_17"/>
      <w:r>
        <w:rPr>
          <w:rtl w:val="0"/>
        </w:rPr>
        <w:t>khoản 2 Điều 4 Thông tư số 14/2026/TT-BKHCN</w:t>
      </w:r>
      <w:bookmarkEnd w:id="68"/>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bookmarkStart w:id="69" w:name="muc_4_pl_1"/>
      <w:r>
        <w:rPr>
          <w:b/>
          <w:bCs/>
          <w:rtl w:val="0"/>
        </w:rPr>
        <w:t>IV. Trách nhiệm của tổ chức, cá nhân</w:t>
      </w:r>
      <w:bookmarkEnd w:id="69"/>
    </w:p>
    <w:p>
      <w:pPr>
        <w:bidi w:val="0"/>
        <w:spacing w:before="120" w:beforeAutospacing="0" w:after="280" w:afterAutospacing="1"/>
        <w:rPr>
          <w:rtl w:val="0"/>
        </w:rPr>
      </w:pPr>
      <w:r>
        <w:rPr>
          <w:b/>
          <w:bCs/>
          <w:rtl w:val="0"/>
        </w:rPr>
        <w:t xml:space="preserve">1. Sửa đổi </w:t>
      </w:r>
      <w:bookmarkStart w:id="70" w:name="dc_18"/>
      <w:r>
        <w:rPr>
          <w:b/>
          <w:bCs/>
          <w:rtl w:val="0"/>
        </w:rPr>
        <w:t>khoản 2</w:t>
      </w:r>
      <w:bookmarkEnd w:id="70"/>
      <w:r>
        <w:rPr>
          <w:b/>
          <w:bCs/>
          <w:rtl w:val="0"/>
        </w:rPr>
        <w:t xml:space="preserve"> như sau:</w:t>
      </w:r>
    </w:p>
    <w:p>
      <w:pPr>
        <w:bidi w:val="0"/>
        <w:spacing w:before="120" w:beforeAutospacing="0" w:after="280" w:afterAutospacing="1"/>
        <w:rPr>
          <w:rtl w:val="0"/>
        </w:rPr>
      </w:pPr>
      <w:r>
        <w:rPr>
          <w:rtl w:val="0"/>
        </w:rPr>
        <w:t xml:space="preserve">2. Tổ chức, cá nhân sản xuất, nhập khẩu, kinh doanh PAC sau khi công bố hợp quy phải thực hiện đăng ký bản công bố hợp quy thông qua Cơ sở dữ liệu quốc gia về tiêu chuẩn, đo lường, chất lượng. Trường hợp Cơ sở dữ liệu quốc gia về tiêu chuẩn, đo lường, chất lượng chưa đáp ứng yêu cầu về hạ tầng kỹ thuật hoặc không thể thực hiện do sự cố kỹ thuật, việc đăng ký bản công bố hợp quy được thực hiện theo hình thức nộp trực tiếp hoặc thông qua dịch vụ bưu chính theo quy định tại </w:t>
      </w:r>
      <w:bookmarkStart w:id="71" w:name="dc_19"/>
      <w:r>
        <w:rPr>
          <w:rtl w:val="0"/>
        </w:rPr>
        <w:t>Điều 13 Thông tư số 14/2026/TT-BKHCN</w:t>
      </w:r>
      <w:bookmarkEnd w:id="71"/>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bookmarkStart w:id="72" w:name="muc_5_pl_1"/>
      <w:r>
        <w:rPr>
          <w:b/>
          <w:bCs/>
          <w:rtl w:val="0"/>
        </w:rPr>
        <w:t>V. Tổ chức thực hiện</w:t>
      </w:r>
      <w:bookmarkEnd w:id="72"/>
    </w:p>
    <w:p>
      <w:pPr>
        <w:bidi w:val="0"/>
        <w:spacing w:before="120" w:beforeAutospacing="0" w:after="280" w:afterAutospacing="1"/>
        <w:rPr>
          <w:rtl w:val="0"/>
        </w:rPr>
      </w:pPr>
      <w:r>
        <w:rPr>
          <w:b/>
          <w:bCs/>
          <w:rtl w:val="0"/>
        </w:rPr>
        <w:t xml:space="preserve">1. Sửa đổi </w:t>
      </w:r>
      <w:bookmarkStart w:id="73" w:name="dc_20"/>
      <w:r>
        <w:rPr>
          <w:b/>
          <w:bCs/>
          <w:rtl w:val="0"/>
        </w:rPr>
        <w:t>khoản 2, khoản 3, khoản 4</w:t>
      </w:r>
      <w:bookmarkEnd w:id="73"/>
      <w:r>
        <w:rPr>
          <w:b/>
          <w:bCs/>
          <w:rtl w:val="0"/>
        </w:rPr>
        <w:t xml:space="preserve"> như sau:</w:t>
      </w:r>
    </w:p>
    <w:p>
      <w:pPr>
        <w:bidi w:val="0"/>
        <w:spacing w:before="120" w:beforeAutospacing="0" w:after="280" w:afterAutospacing="1"/>
        <w:rPr>
          <w:rtl w:val="0"/>
        </w:rPr>
      </w:pPr>
      <w:r>
        <w:rPr>
          <w:rtl w:val="0"/>
        </w:rPr>
        <w:t>2. Cục Quản lý và Phát triển thị trường trong nước có trách nhiệm chủ trì, phối hợp với các cơ quan, tổ chức có liên quan thực hiện kiểm tra, kiểm soát và xử lý vi phạm đối với chất lượng PAC trên thị trường theo Quy chuẩn này và quy định của pháp luật hiện hành.</w:t>
      </w:r>
    </w:p>
    <w:p>
      <w:pPr>
        <w:bidi w:val="0"/>
        <w:spacing w:before="120" w:beforeAutospacing="0" w:after="280" w:afterAutospacing="1"/>
        <w:rPr>
          <w:rtl w:val="0"/>
        </w:rPr>
      </w:pPr>
      <w:r>
        <w:rPr>
          <w:rtl w:val="0"/>
        </w:rPr>
        <w:t>3. Trường hợp các văn bản quy phạm pháp luật, tài liệu, tiêu chuẩn được viện dẫn trong Quy chuẩn này có sự thay đổi, bổ sung hoặc thay thế thì thực hiện theo quy định tại văn bản mới./.</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74" w:name="chuong_pl_3"/>
      <w:r>
        <w:rPr>
          <w:b/>
          <w:bCs/>
          <w:rtl w:val="0"/>
        </w:rPr>
        <w:t>PHỤ LỤC III</w:t>
      </w:r>
      <w:bookmarkEnd w:id="74"/>
    </w:p>
    <w:p>
      <w:pPr>
        <w:bidi w:val="0"/>
        <w:spacing w:before="120" w:beforeAutospacing="0" w:after="280" w:afterAutospacing="1"/>
        <w:jc w:val="center"/>
        <w:rPr>
          <w:rtl w:val="0"/>
        </w:rPr>
      </w:pPr>
      <w:r>
        <w:rPr>
          <w:i/>
          <w:iCs/>
          <w:rtl w:val="0"/>
        </w:rPr>
        <w:t>(Ban hành kèm theo Thông tư số 38/2026/TT-BCT ngày 30 tháng 6 năm 2026 của Bộ trưởng Bộ Công Thương)</w:t>
      </w:r>
    </w:p>
    <w:p>
      <w:pPr>
        <w:bidi w:val="0"/>
        <w:spacing w:before="120" w:beforeAutospacing="0" w:after="280" w:afterAutospacing="1"/>
        <w:jc w:val="center"/>
        <w:rPr>
          <w:rtl w:val="0"/>
        </w:rPr>
      </w:pPr>
      <w:bookmarkStart w:id="75" w:name="chuong_pl_3_name"/>
      <w:r>
        <w:rPr>
          <w:b/>
          <w:bCs/>
          <w:rtl w:val="0"/>
        </w:rPr>
        <w:t>SỬA ĐỔI 01:2026 QCVN 07A:2020/BCT QUY CHUẨN KỸ THUẬT QUỐC GIA VỀ CHẤT LƯỢNG AMÔNIẮC CÔNG NGHIỆP</w:t>
      </w:r>
      <w:bookmarkEnd w:id="75"/>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SỬA ĐỔI 01:2026 QCVN 07A:2020/BCT</w:t>
      </w:r>
    </w:p>
    <w:p>
      <w:pPr>
        <w:bidi w:val="0"/>
        <w:spacing w:before="120" w:beforeAutospacing="0" w:after="280" w:afterAutospacing="1"/>
        <w:jc w:val="center"/>
        <w:rPr>
          <w:rtl w:val="0"/>
        </w:rPr>
      </w:pPr>
      <w:r>
        <w:rPr>
          <w:b/>
          <w:bCs/>
          <w:rtl w:val="0"/>
        </w:rPr>
        <w:t xml:space="preserve">QUY CHUẨN KỸ THUẬT QUỐC GIA </w:t>
      </w:r>
      <w:r>
        <w:rPr>
          <w:b/>
          <w:bCs/>
          <w:rtl w:val="0"/>
        </w:rPr>
        <w:br/>
      </w:r>
      <w:r>
        <w:rPr>
          <w:b/>
          <w:bCs/>
          <w:rtl w:val="0"/>
        </w:rPr>
        <w:t xml:space="preserve">VỀ CHẤT LƯỢNG AMÔNIẮC CÔNG NGHIỆP </w:t>
      </w:r>
    </w:p>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b/>
          <w:bCs/>
          <w:i/>
          <w:iCs/>
          <w:rtl w:val="0"/>
        </w:rPr>
        <w:t xml:space="preserve">Amendment 01:2026 QCVN 07A:2020/BCT </w:t>
      </w:r>
      <w:r>
        <w:rPr>
          <w:b/>
          <w:bCs/>
          <w:i/>
          <w:iCs/>
          <w:rtl w:val="0"/>
        </w:rPr>
        <w:br/>
      </w:r>
      <w:r>
        <w:rPr>
          <w:b/>
          <w:bCs/>
          <w:i/>
          <w:iCs/>
          <w:rtl w:val="0"/>
        </w:rPr>
        <w:t>National Technical Regulations on quality of industrial Ammonia</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Lời nói đầu</w:t>
      </w:r>
    </w:p>
    <w:p>
      <w:pPr>
        <w:bidi w:val="0"/>
        <w:spacing w:before="120" w:beforeAutospacing="0" w:after="280" w:afterAutospacing="1"/>
        <w:rPr>
          <w:rtl w:val="0"/>
        </w:rPr>
      </w:pPr>
      <w:r>
        <w:rPr>
          <w:rtl w:val="0"/>
        </w:rPr>
        <w:t xml:space="preserve">Sửa đổi 01:2026 QCVN 07A:2020/BCT sửa đổi một số quy định của </w:t>
      </w:r>
      <w:bookmarkStart w:id="76" w:name="tvpllink_cacjyyojdg"/>
      <w:r>
        <w:rPr>
          <w:rtl w:val="0"/>
        </w:rPr>
        <w:t>QCVN 07A:2020/BCT</w:t>
      </w:r>
      <w:bookmarkEnd w:id="76"/>
      <w:r>
        <w:rPr>
          <w:rtl w:val="0"/>
        </w:rPr>
        <w:t>.</w:t>
      </w:r>
    </w:p>
    <w:p>
      <w:pPr>
        <w:bidi w:val="0"/>
        <w:spacing w:before="120" w:beforeAutospacing="0" w:after="280" w:afterAutospacing="1"/>
        <w:rPr>
          <w:rtl w:val="0"/>
        </w:rPr>
      </w:pPr>
      <w:r>
        <w:rPr>
          <w:rtl w:val="0"/>
        </w:rPr>
        <w:t>Sửa đổi 01:2026 QCVN 07A:2020/BCT do Tổ soạn thảo Thông tư của Bộ trưởng Bộ Công Thương ban hành các Sửa đổi quy chuẩn kỹ thuật quốc gia về chất lượng natri hydroxit công nghiệp, chất lượng Poly aluminium chloride (PAC), chất lượng Amôniắc công nghiệp biên soạn, Cục Hóa chất trình duyệt, Bộ Khoa học và Công nghệ có ý kiến, Bộ trưởng Bộ Công Thương ban hành kèm theo Thông tư số 38/2026/TT-BCT ngày 30 tháng 6 năm 2026.</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QUY CHUẨN KỸ THUẬT QUỐC GIA VỀ CHẤT LƯỢNG AMÔNIẮC CÔNG NGHIỆP</w:t>
      </w:r>
    </w:p>
    <w:p>
      <w:pPr>
        <w:bidi w:val="0"/>
        <w:spacing w:before="120" w:beforeAutospacing="0" w:after="280" w:afterAutospacing="1"/>
        <w:jc w:val="center"/>
        <w:rPr>
          <w:rtl w:val="0"/>
        </w:rPr>
      </w:pPr>
      <w:r>
        <w:rPr>
          <w:b/>
          <w:bCs/>
          <w:i/>
          <w:iCs/>
          <w:rtl w:val="0"/>
        </w:rPr>
        <w:t>National Technical Regulations on quality of industrial Ammonia</w:t>
      </w:r>
    </w:p>
    <w:p>
      <w:pPr>
        <w:bidi w:val="0"/>
        <w:spacing w:before="120" w:beforeAutospacing="0" w:after="280" w:afterAutospacing="1"/>
        <w:rPr>
          <w:rtl w:val="0"/>
        </w:rPr>
      </w:pPr>
      <w:r>
        <w:rPr>
          <w:rtl w:val="0"/>
        </w:rPr>
        <w:t xml:space="preserve">Sửa đổi 01:2026 QCVN 07A:2020/BCT sửa đổi những nội dung sau của </w:t>
      </w:r>
      <w:bookmarkStart w:id="77" w:name="tvpllink_cacjyyojdg_1"/>
      <w:r>
        <w:rPr>
          <w:rtl w:val="0"/>
        </w:rPr>
        <w:t>QCVN 07A:2020/BCT</w:t>
      </w:r>
      <w:bookmarkEnd w:id="77"/>
      <w:r>
        <w:rPr>
          <w:rtl w:val="0"/>
        </w:rPr>
        <w:t>.</w:t>
      </w:r>
    </w:p>
    <w:p>
      <w:pPr>
        <w:bidi w:val="0"/>
        <w:spacing w:before="120" w:beforeAutospacing="0" w:after="280" w:afterAutospacing="1"/>
        <w:rPr>
          <w:rtl w:val="0"/>
        </w:rPr>
      </w:pPr>
      <w:bookmarkStart w:id="78" w:name="muc_1_pl_2"/>
      <w:r>
        <w:rPr>
          <w:b/>
          <w:bCs/>
          <w:rtl w:val="0"/>
        </w:rPr>
        <w:t>I. Quy định chung</w:t>
      </w:r>
      <w:bookmarkEnd w:id="78"/>
    </w:p>
    <w:p>
      <w:pPr>
        <w:bidi w:val="0"/>
        <w:spacing w:before="120" w:beforeAutospacing="0" w:after="280" w:afterAutospacing="1"/>
        <w:rPr>
          <w:rtl w:val="0"/>
        </w:rPr>
      </w:pPr>
      <w:r>
        <w:rPr>
          <w:b/>
          <w:bCs/>
          <w:rtl w:val="0"/>
        </w:rPr>
        <w:t xml:space="preserve">1. Sửa đổi </w:t>
      </w:r>
      <w:bookmarkStart w:id="79" w:name="dc_21"/>
      <w:r>
        <w:rPr>
          <w:b/>
          <w:bCs/>
          <w:rtl w:val="0"/>
        </w:rPr>
        <w:t>khoản 1</w:t>
      </w:r>
      <w:bookmarkEnd w:id="79"/>
      <w:r>
        <w:rPr>
          <w:b/>
          <w:bCs/>
          <w:rtl w:val="0"/>
        </w:rPr>
        <w:t xml:space="preserve"> như sau: </w:t>
      </w:r>
    </w:p>
    <w:p>
      <w:pPr>
        <w:bidi w:val="0"/>
        <w:spacing w:before="120" w:beforeAutospacing="0" w:after="280" w:afterAutospacing="1"/>
        <w:rPr>
          <w:rtl w:val="0"/>
        </w:rPr>
      </w:pPr>
      <w:r>
        <w:rPr>
          <w:rtl w:val="0"/>
        </w:rPr>
        <w:t>1. Phạm vi điều chỉnh</w:t>
      </w:r>
    </w:p>
    <w:p>
      <w:pPr>
        <w:bidi w:val="0"/>
        <w:spacing w:before="120" w:beforeAutospacing="0" w:after="280" w:afterAutospacing="1"/>
        <w:rPr>
          <w:rtl w:val="0"/>
        </w:rPr>
      </w:pPr>
      <w:r>
        <w:rPr>
          <w:rtl w:val="0"/>
        </w:rPr>
        <w:t>Quy chuẩn này quy định về yêu cầu kỹ thuật, phương pháp thử và các quy định về quản lý đối với Amôniắc lỏng công nghiệp hàm lượng từ 10% đến 35% (sau đây gọi tắt là Amôniắc công nghiệp) sản xuất, nhập khẩu, kinh doanh, vận chuyển trên lãnh thổ Việt Nam.</w:t>
      </w:r>
    </w:p>
    <w:p>
      <w:pPr>
        <w:bidi w:val="0"/>
        <w:spacing w:before="120" w:beforeAutospacing="0" w:after="280" w:afterAutospacing="1"/>
        <w:rPr>
          <w:rtl w:val="0"/>
        </w:rPr>
      </w:pPr>
      <w:r>
        <w:rPr>
          <w:rtl w:val="0"/>
        </w:rPr>
        <w:t>Quy chuẩn này không áp dụng đối với Amôniắc tinh khiết và Amôniắc thực phẩm.</w:t>
      </w:r>
    </w:p>
    <w:p>
      <w:pPr>
        <w:bidi w:val="0"/>
        <w:spacing w:before="120" w:beforeAutospacing="0" w:after="280" w:afterAutospacing="1"/>
        <w:rPr>
          <w:rtl w:val="0"/>
        </w:rPr>
      </w:pPr>
      <w:r>
        <w:rPr>
          <w:rtl w:val="0"/>
        </w:rPr>
        <w:t xml:space="preserve">Amôniắc công nghiệp chịu sự điều chỉnh của Quy chuẩn này được quy định tại Thông tư số </w:t>
      </w:r>
      <w:bookmarkStart w:id="80" w:name="tvpllink_gbwsemqgvw_2"/>
      <w:r>
        <w:rPr>
          <w:rtl w:val="0"/>
        </w:rPr>
        <w:t>33/2026/TT-BCT</w:t>
      </w:r>
      <w:bookmarkEnd w:id="80"/>
      <w:r>
        <w:rPr>
          <w:rtl w:val="0"/>
        </w:rPr>
        <w:t xml:space="preserve"> ngày 30 tháng 6 năm 2026 của Bộ trưởng Bộ Công Thương ban hành Danh mục sản phẩm, hàng hóa có mức độ rủi ro trung bình, mức độ rủi ro cao thuộc trách nhiệm quản lý nhà nước của Bộ Công Thương.</w:t>
      </w:r>
    </w:p>
    <w:p>
      <w:pPr>
        <w:bidi w:val="0"/>
        <w:spacing w:before="120" w:beforeAutospacing="0" w:after="280" w:afterAutospacing="1"/>
        <w:rPr>
          <w:rtl w:val="0"/>
        </w:rPr>
      </w:pPr>
      <w:bookmarkStart w:id="81" w:name="muc_2_pl_2"/>
      <w:r>
        <w:rPr>
          <w:b/>
          <w:bCs/>
          <w:rtl w:val="0"/>
        </w:rPr>
        <w:t>II. Quy định về kỹ thuật</w:t>
      </w:r>
      <w:bookmarkEnd w:id="81"/>
    </w:p>
    <w:p>
      <w:pPr>
        <w:bidi w:val="0"/>
        <w:spacing w:before="120" w:beforeAutospacing="0" w:after="280" w:afterAutospacing="1"/>
        <w:rPr>
          <w:rtl w:val="0"/>
        </w:rPr>
      </w:pPr>
      <w:r>
        <w:rPr>
          <w:b/>
          <w:bCs/>
          <w:rtl w:val="0"/>
        </w:rPr>
        <w:t xml:space="preserve">1. Sửa đổi bảng 1 </w:t>
      </w:r>
      <w:bookmarkStart w:id="82" w:name="dc_31"/>
      <w:r>
        <w:rPr>
          <w:b/>
          <w:bCs/>
          <w:rtl w:val="0"/>
        </w:rPr>
        <w:t>khoản 2</w:t>
      </w:r>
      <w:bookmarkEnd w:id="82"/>
      <w:r>
        <w:rPr>
          <w:b/>
          <w:bCs/>
          <w:rtl w:val="0"/>
        </w:rPr>
        <w:t xml:space="preserve"> như sau:</w:t>
      </w:r>
    </w:p>
    <w:p>
      <w:pPr>
        <w:bidi w:val="0"/>
        <w:spacing w:before="120" w:beforeAutospacing="0" w:after="280" w:afterAutospacing="1"/>
        <w:jc w:val="center"/>
        <w:rPr>
          <w:rtl w:val="0"/>
        </w:rPr>
      </w:pPr>
      <w:r>
        <w:rPr>
          <w:rtl w:val="0"/>
        </w:rPr>
        <w:t>Bảng 1 - Chỉ tiêu kỹ thuật của Amôniắc công nghiệp</w:t>
      </w:r>
    </w:p>
    <w:tbl>
      <w:tblPr>
        <w:tblW w:w="5000" w:type="pct"/>
        <w:jc w:val="left"/>
        <w:tblCellMar>
          <w:top w:w="0" w:type="dxa"/>
          <w:left w:w="0" w:type="dxa"/>
          <w:bottom w:w="0" w:type="dxa"/>
          <w:right w:w="0" w:type="dxa"/>
        </w:tblCellMar>
      </w:tblPr>
      <w:tblGrid>
        <w:gridCol w:w="710"/>
        <w:gridCol w:w="1985"/>
        <w:gridCol w:w="1755"/>
        <w:gridCol w:w="1621"/>
        <w:gridCol w:w="2569"/>
      </w:tblGrid>
      <w:tr>
        <w:tblPrEx>
          <w:tblW w:w="5000" w:type="pct"/>
          <w:jc w:val="left"/>
          <w:tblCellMar>
            <w:top w:w="0" w:type="dxa"/>
            <w:left w:w="0" w:type="dxa"/>
            <w:bottom w:w="0" w:type="dxa"/>
            <w:right w:w="0" w:type="dxa"/>
          </w:tblCellMar>
        </w:tblPrEx>
        <w:trPr>
          <w:jc w:val="left"/>
        </w:trPr>
        <w:tc>
          <w:tcPr>
            <w:tcW w:w="411"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STT</w:t>
            </w:r>
          </w:p>
        </w:tc>
        <w:tc>
          <w:tcPr>
            <w:tcW w:w="114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Chỉ tiêu</w:t>
            </w:r>
          </w:p>
        </w:tc>
        <w:tc>
          <w:tcPr>
            <w:tcW w:w="1954" w:type="pct"/>
            <w:gridSpan w:val="2"/>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Mức chất lượng</w:t>
            </w:r>
          </w:p>
        </w:tc>
        <w:tc>
          <w:tcPr>
            <w:tcW w:w="148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Phương pháp thử</w:t>
            </w:r>
          </w:p>
        </w:tc>
      </w:tr>
      <w:tr>
        <w:tblPrEx>
          <w:tblW w:w="5000" w:type="pct"/>
          <w:jc w:val="left"/>
          <w:tblCellMar>
            <w:top w:w="0" w:type="dxa"/>
            <w:left w:w="0" w:type="dxa"/>
            <w:bottom w:w="0" w:type="dxa"/>
            <w:right w:w="0" w:type="dxa"/>
          </w:tblCellMar>
        </w:tblPrEx>
        <w:trPr>
          <w:jc w:val="left"/>
        </w:trPr>
        <w:tc>
          <w:tcPr>
            <w:tcW w:w="411"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w:t>
            </w:r>
          </w:p>
        </w:tc>
        <w:tc>
          <w:tcPr>
            <w:tcW w:w="114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Hàm lượng Amôniắc, % khối lượng</w:t>
            </w:r>
          </w:p>
        </w:tc>
        <w:tc>
          <w:tcPr>
            <w:tcW w:w="101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Từ 10% đến nhỏ hơn 20%</w:t>
            </w:r>
          </w:p>
        </w:tc>
        <w:tc>
          <w:tcPr>
            <w:tcW w:w="9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Từ 20% đến nhỏ hơn 35%</w:t>
            </w:r>
          </w:p>
        </w:tc>
        <w:tc>
          <w:tcPr>
            <w:tcW w:w="148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rPr>
                <w:rtl w:val="0"/>
              </w:rPr>
            </w:pPr>
            <w:r>
              <w:rPr>
                <w:color w:val="000000"/>
                <w:rtl w:val="0"/>
              </w:rPr>
              <w:t xml:space="preserve">- </w:t>
            </w:r>
            <w:bookmarkStart w:id="83" w:name="tvpllink_kqlfeshmkr"/>
            <w:r>
              <w:rPr>
                <w:color w:val="000000"/>
                <w:rtl w:val="0"/>
              </w:rPr>
              <w:t>TCVN 2615:2008</w:t>
            </w:r>
            <w:bookmarkEnd w:id="83"/>
          </w:p>
          <w:p>
            <w:pPr>
              <w:bidi w:val="0"/>
              <w:spacing w:before="120" w:beforeAutospacing="0" w:after="0" w:afterAutospacing="0"/>
              <w:rPr>
                <w:rtl w:val="0"/>
              </w:rPr>
            </w:pPr>
            <w:r>
              <w:rPr>
                <w:color w:val="000000"/>
                <w:rtl w:val="0"/>
              </w:rPr>
              <w:t>- Điểm 4.1.2</w:t>
            </w:r>
          </w:p>
        </w:tc>
      </w:tr>
      <w:tr>
        <w:tblPrEx>
          <w:tblW w:w="5000" w:type="pct"/>
          <w:jc w:val="left"/>
          <w:tblCellMar>
            <w:top w:w="0" w:type="dxa"/>
            <w:left w:w="0" w:type="dxa"/>
            <w:bottom w:w="0" w:type="dxa"/>
            <w:right w:w="0" w:type="dxa"/>
          </w:tblCellMar>
        </w:tblPrEx>
        <w:trPr>
          <w:jc w:val="left"/>
        </w:trPr>
        <w:tc>
          <w:tcPr>
            <w:tcW w:w="411"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w:t>
            </w:r>
          </w:p>
        </w:tc>
        <w:tc>
          <w:tcPr>
            <w:tcW w:w="114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Hàm lượng sắt, %</w:t>
            </w:r>
          </w:p>
        </w:tc>
        <w:tc>
          <w:tcPr>
            <w:tcW w:w="101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 0,0001</w:t>
            </w:r>
          </w:p>
        </w:tc>
        <w:tc>
          <w:tcPr>
            <w:tcW w:w="9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 0,0002</w:t>
            </w:r>
          </w:p>
        </w:tc>
        <w:tc>
          <w:tcPr>
            <w:tcW w:w="148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rPr>
                <w:rtl w:val="0"/>
              </w:rPr>
            </w:pPr>
            <w:r>
              <w:rPr>
                <w:color w:val="000000"/>
                <w:rtl w:val="0"/>
              </w:rPr>
              <w:t xml:space="preserve">- </w:t>
            </w:r>
            <w:bookmarkStart w:id="84" w:name="tvpllink_qygqstyovz"/>
            <w:r>
              <w:rPr>
                <w:color w:val="000000"/>
                <w:rtl w:val="0"/>
              </w:rPr>
              <w:t>TCVN 2618:1993</w:t>
            </w:r>
            <w:bookmarkEnd w:id="84"/>
          </w:p>
          <w:p>
            <w:pPr>
              <w:bidi w:val="0"/>
              <w:spacing w:before="120" w:beforeAutospacing="0" w:after="280" w:afterAutospacing="1"/>
              <w:rPr>
                <w:rtl w:val="0"/>
              </w:rPr>
            </w:pPr>
            <w:r>
              <w:rPr>
                <w:color w:val="000000"/>
                <w:rtl w:val="0"/>
              </w:rPr>
              <w:t>- ASTM E291-18</w:t>
            </w:r>
          </w:p>
          <w:p>
            <w:pPr>
              <w:bidi w:val="0"/>
              <w:spacing w:before="120" w:beforeAutospacing="0" w:after="0" w:afterAutospacing="0"/>
              <w:rPr>
                <w:rtl w:val="0"/>
              </w:rPr>
            </w:pPr>
            <w:r>
              <w:rPr>
                <w:color w:val="000000"/>
                <w:rtl w:val="0"/>
              </w:rPr>
              <w:t>- Điểm 4.2.3</w:t>
            </w:r>
          </w:p>
        </w:tc>
      </w:tr>
      <w:tr>
        <w:tblPrEx>
          <w:tblW w:w="5000" w:type="pct"/>
          <w:jc w:val="left"/>
          <w:tblCellMar>
            <w:top w:w="0" w:type="dxa"/>
            <w:left w:w="0" w:type="dxa"/>
            <w:bottom w:w="0" w:type="dxa"/>
            <w:right w:w="0" w:type="dxa"/>
          </w:tblCellMar>
        </w:tblPrEx>
        <w:trPr>
          <w:jc w:val="left"/>
        </w:trPr>
        <w:tc>
          <w:tcPr>
            <w:tcW w:w="411"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w:t>
            </w:r>
          </w:p>
        </w:tc>
        <w:tc>
          <w:tcPr>
            <w:tcW w:w="114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Hàm lượng cặn sau bay hơi, %</w:t>
            </w:r>
          </w:p>
        </w:tc>
        <w:tc>
          <w:tcPr>
            <w:tcW w:w="101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 0,003</w:t>
            </w:r>
          </w:p>
        </w:tc>
        <w:tc>
          <w:tcPr>
            <w:tcW w:w="9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 0,005</w:t>
            </w:r>
          </w:p>
        </w:tc>
        <w:tc>
          <w:tcPr>
            <w:tcW w:w="148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rPr>
                <w:rtl w:val="0"/>
              </w:rPr>
            </w:pPr>
            <w:r>
              <w:rPr>
                <w:color w:val="000000"/>
                <w:rtl w:val="0"/>
              </w:rPr>
              <w:t xml:space="preserve">- </w:t>
            </w:r>
            <w:bookmarkStart w:id="85" w:name="tvpllink_mvwmcnmvsy"/>
            <w:r>
              <w:rPr>
                <w:color w:val="000000"/>
                <w:rtl w:val="0"/>
              </w:rPr>
              <w:t>TCVN 4560:1988</w:t>
            </w:r>
            <w:bookmarkEnd w:id="85"/>
          </w:p>
          <w:p>
            <w:pPr>
              <w:bidi w:val="0"/>
              <w:spacing w:before="120" w:beforeAutospacing="0" w:after="0" w:afterAutospacing="0"/>
              <w:rPr>
                <w:rtl w:val="0"/>
              </w:rPr>
            </w:pPr>
            <w:r>
              <w:rPr>
                <w:color w:val="000000"/>
                <w:rtl w:val="0"/>
              </w:rPr>
              <w:t>- Điểm 4.3.2</w:t>
            </w:r>
          </w:p>
        </w:tc>
      </w:tr>
    </w:tbl>
    <w:p>
      <w:pPr>
        <w:bidi w:val="0"/>
        <w:spacing w:before="120" w:beforeAutospacing="0" w:after="280" w:afterAutospacing="1"/>
        <w:rPr>
          <w:rtl w:val="0"/>
        </w:rPr>
      </w:pPr>
      <w:r>
        <w:rPr>
          <w:b/>
          <w:bCs/>
          <w:rtl w:val="0"/>
        </w:rPr>
        <w:t xml:space="preserve">2. Sửa đổi </w:t>
      </w:r>
      <w:bookmarkStart w:id="86" w:name="dc_22"/>
      <w:r>
        <w:rPr>
          <w:b/>
          <w:bCs/>
          <w:rtl w:val="0"/>
        </w:rPr>
        <w:t>khoản 3</w:t>
      </w:r>
      <w:bookmarkEnd w:id="86"/>
      <w:r>
        <w:rPr>
          <w:b/>
          <w:bCs/>
          <w:rtl w:val="0"/>
        </w:rPr>
        <w:t xml:space="preserve"> như sau:</w:t>
      </w:r>
    </w:p>
    <w:p>
      <w:pPr>
        <w:bidi w:val="0"/>
        <w:spacing w:before="120" w:beforeAutospacing="0" w:after="280" w:afterAutospacing="1"/>
        <w:rPr>
          <w:rtl w:val="0"/>
        </w:rPr>
      </w:pPr>
      <w:r>
        <w:rPr>
          <w:rtl w:val="0"/>
        </w:rPr>
        <w:t>3. Ghi nhãn, vận chuyển</w:t>
      </w:r>
    </w:p>
    <w:p>
      <w:pPr>
        <w:bidi w:val="0"/>
        <w:spacing w:before="120" w:beforeAutospacing="0" w:after="280" w:afterAutospacing="1"/>
        <w:rPr>
          <w:rtl w:val="0"/>
        </w:rPr>
      </w:pPr>
      <w:r>
        <w:rPr>
          <w:rtl w:val="0"/>
        </w:rPr>
        <w:t>3.1 Ghi nhãn</w:t>
      </w:r>
    </w:p>
    <w:p>
      <w:pPr>
        <w:bidi w:val="0"/>
        <w:spacing w:before="120" w:beforeAutospacing="0" w:after="280" w:afterAutospacing="1"/>
        <w:rPr>
          <w:rtl w:val="0"/>
        </w:rPr>
      </w:pPr>
      <w:r>
        <w:rPr>
          <w:rtl w:val="0"/>
        </w:rPr>
        <w:t xml:space="preserve">Ghi nhãn hóa chất theo quy định tại Nghị định số </w:t>
      </w:r>
      <w:bookmarkStart w:id="87" w:name="tvpllink_lpeisttiyk_3"/>
      <w:r>
        <w:rPr>
          <w:rtl w:val="0"/>
        </w:rPr>
        <w:t>37/2026/NĐ-CP</w:t>
      </w:r>
      <w:bookmarkEnd w:id="87"/>
      <w:r>
        <w:rPr>
          <w:rtl w:val="0"/>
        </w:rPr>
        <w:t xml:space="preserve"> ngày 23 tháng 01 năm 2026 của Chính phủ quy định chi tiết một số điều và biện pháp để tổ chức, hướng dẫn thi hành </w:t>
      </w:r>
      <w:bookmarkStart w:id="88" w:name="tvpllink_mhyivazsmk_4"/>
      <w:r>
        <w:rPr>
          <w:rtl w:val="0"/>
        </w:rPr>
        <w:t>Luật Chất lượng sản phẩm, hàng hóa</w:t>
      </w:r>
      <w:bookmarkEnd w:id="88"/>
      <w:r>
        <w:rPr>
          <w:rtl w:val="0"/>
        </w:rPr>
        <w:t xml:space="preserve"> và các quy định pháp luật về ghi nhãn hiện hành.</w:t>
      </w:r>
    </w:p>
    <w:p>
      <w:pPr>
        <w:bidi w:val="0"/>
        <w:spacing w:before="120" w:beforeAutospacing="0" w:after="280" w:afterAutospacing="1"/>
        <w:rPr>
          <w:rtl w:val="0"/>
        </w:rPr>
      </w:pPr>
      <w:r>
        <w:rPr>
          <w:rtl w:val="0"/>
        </w:rPr>
        <w:t>3.2. Vận chuyển</w:t>
      </w:r>
    </w:p>
    <w:p>
      <w:pPr>
        <w:bidi w:val="0"/>
        <w:spacing w:before="120" w:beforeAutospacing="0" w:after="280" w:afterAutospacing="1"/>
        <w:rPr>
          <w:rtl w:val="0"/>
        </w:rPr>
      </w:pPr>
      <w:r>
        <w:rPr>
          <w:rtl w:val="0"/>
        </w:rPr>
        <w:t xml:space="preserve">Vận chuyển Amôniắc công nghiệp theo quy định tại Nghị định số </w:t>
      </w:r>
      <w:bookmarkStart w:id="89" w:name="tvpllink_cgqsyeiahy_1"/>
      <w:r>
        <w:rPr>
          <w:rtl w:val="0"/>
        </w:rPr>
        <w:t>34/2024/NĐ-CP</w:t>
      </w:r>
      <w:bookmarkEnd w:id="89"/>
      <w:r>
        <w:rPr>
          <w:rtl w:val="0"/>
        </w:rPr>
        <w:t xml:space="preserve"> ngày 31 tháng 3 năm 2024 của Chính phủ quy định Danh mục hàng hóa nguy hiểm, vận chuyển hàng hóa nguy hiểm bằng phương tiện giao thông cơ giới đường bộ và phương tiện thủy nội địa, được sửa đổi bổ sung tại Nghị định số </w:t>
      </w:r>
      <w:bookmarkStart w:id="90" w:name="tvpllink_wnirjbicau_1"/>
      <w:r>
        <w:rPr>
          <w:rtl w:val="0"/>
        </w:rPr>
        <w:t>161/2024/NĐ-CP</w:t>
      </w:r>
      <w:bookmarkEnd w:id="90"/>
      <w:r>
        <w:rPr>
          <w:rtl w:val="0"/>
        </w:rPr>
        <w:t xml:space="preserve"> ngày ngày 18 tháng 12 năm 2024 của Chính phủ về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p>
    <w:p>
      <w:pPr>
        <w:bidi w:val="0"/>
        <w:spacing w:before="120" w:beforeAutospacing="0" w:after="280" w:afterAutospacing="1"/>
        <w:rPr>
          <w:rtl w:val="0"/>
        </w:rPr>
      </w:pPr>
      <w:bookmarkStart w:id="91" w:name="muc_3_pl_2"/>
      <w:r>
        <w:rPr>
          <w:b/>
          <w:bCs/>
          <w:rtl w:val="0"/>
        </w:rPr>
        <w:t>III. Quy định về quản lý</w:t>
      </w:r>
      <w:bookmarkEnd w:id="91"/>
    </w:p>
    <w:p>
      <w:pPr>
        <w:bidi w:val="0"/>
        <w:spacing w:before="120" w:beforeAutospacing="0" w:after="280" w:afterAutospacing="1"/>
        <w:rPr>
          <w:rtl w:val="0"/>
        </w:rPr>
      </w:pPr>
      <w:r>
        <w:rPr>
          <w:b/>
          <w:bCs/>
          <w:rtl w:val="0"/>
        </w:rPr>
        <w:t xml:space="preserve">1. Sửa đổi </w:t>
      </w:r>
      <w:bookmarkStart w:id="92" w:name="dc_23"/>
      <w:r>
        <w:rPr>
          <w:b/>
          <w:bCs/>
          <w:rtl w:val="0"/>
        </w:rPr>
        <w:t>điểm 1.2 khoản 1</w:t>
      </w:r>
      <w:bookmarkEnd w:id="92"/>
      <w:r>
        <w:rPr>
          <w:b/>
          <w:bCs/>
          <w:rtl w:val="0"/>
        </w:rPr>
        <w:t xml:space="preserve"> như sau:</w:t>
      </w:r>
    </w:p>
    <w:p>
      <w:pPr>
        <w:bidi w:val="0"/>
        <w:spacing w:before="120" w:beforeAutospacing="0" w:after="280" w:afterAutospacing="1"/>
        <w:rPr>
          <w:rtl w:val="0"/>
        </w:rPr>
      </w:pPr>
      <w:r>
        <w:rPr>
          <w:rtl w:val="0"/>
        </w:rPr>
        <w:t xml:space="preserve">1.2. Việc công bố hợp quy đối với Amôniắc công nghiệp được thực hiện theo quy định tại </w:t>
      </w:r>
      <w:bookmarkStart w:id="93" w:name="dc_30"/>
      <w:r>
        <w:rPr>
          <w:rtl w:val="0"/>
        </w:rPr>
        <w:t>Điều 13 Thông tư số 14/2026/TT-BKHCN</w:t>
      </w:r>
      <w:bookmarkEnd w:id="93"/>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r>
        <w:rPr>
          <w:b/>
          <w:bCs/>
          <w:rtl w:val="0"/>
        </w:rPr>
        <w:t xml:space="preserve">2. Sửa đổi </w:t>
      </w:r>
      <w:bookmarkStart w:id="94" w:name="dc_24"/>
      <w:r>
        <w:rPr>
          <w:b/>
          <w:bCs/>
          <w:rtl w:val="0"/>
        </w:rPr>
        <w:t>khoản 2</w:t>
      </w:r>
      <w:bookmarkEnd w:id="94"/>
      <w:r>
        <w:rPr>
          <w:b/>
          <w:bCs/>
          <w:rtl w:val="0"/>
        </w:rPr>
        <w:t xml:space="preserve"> như sau:</w:t>
      </w:r>
    </w:p>
    <w:p>
      <w:pPr>
        <w:bidi w:val="0"/>
        <w:spacing w:before="120" w:beforeAutospacing="0" w:after="280" w:afterAutospacing="1"/>
        <w:rPr>
          <w:rtl w:val="0"/>
        </w:rPr>
      </w:pPr>
      <w:r>
        <w:rPr>
          <w:rtl w:val="0"/>
        </w:rPr>
        <w:t>2. Quy định về đánh giá sự phù hợp</w:t>
      </w:r>
    </w:p>
    <w:p>
      <w:pPr>
        <w:bidi w:val="0"/>
        <w:spacing w:before="120" w:beforeAutospacing="0" w:after="280" w:afterAutospacing="1"/>
        <w:rPr>
          <w:rtl w:val="0"/>
        </w:rPr>
      </w:pPr>
      <w:r>
        <w:rPr>
          <w:rtl w:val="0"/>
        </w:rPr>
        <w:t>2.1. Việc đánh giá sự phù hợp</w:t>
      </w:r>
    </w:p>
    <w:p>
      <w:pPr>
        <w:bidi w:val="0"/>
        <w:spacing w:before="120" w:beforeAutospacing="0" w:after="280" w:afterAutospacing="1"/>
        <w:rPr>
          <w:rtl w:val="0"/>
        </w:rPr>
      </w:pPr>
      <w:r>
        <w:rPr>
          <w:rtl w:val="0"/>
        </w:rPr>
        <w:t xml:space="preserve">- Hoạt động nhập khẩu Amôniắc công nghiệp: Thực hiện theo phương thức 1 quy định tại Phụ lục II của Thông tư số </w:t>
      </w:r>
      <w:bookmarkStart w:id="95" w:name="tvpllink_jtswjzgwzu_4"/>
      <w:r>
        <w:rPr>
          <w:rtl w:val="0"/>
        </w:rPr>
        <w:t>14/2026/TT-BKHCN</w:t>
      </w:r>
      <w:bookmarkEnd w:id="95"/>
      <w:r>
        <w:rPr>
          <w:rtl w:val="0"/>
        </w:rPr>
        <w:t xml:space="preserve"> ngày 09/4/2026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r>
        <w:rPr>
          <w:rtl w:val="0"/>
        </w:rPr>
        <w:t xml:space="preserve">- Hoạt động sản xuất Amôniắc công nghiệp trong nước: Thực hiện theo phương thức 5 quy định tại Phụ lục II của Thông tư số </w:t>
      </w:r>
      <w:bookmarkStart w:id="96" w:name="tvpllink_jtswjzgwzu_5"/>
      <w:r>
        <w:rPr>
          <w:rtl w:val="0"/>
        </w:rPr>
        <w:t>14/2026/TT-BKHCN</w:t>
      </w:r>
      <w:bookmarkEnd w:id="96"/>
      <w:r>
        <w:rPr>
          <w:rtl w:val="0"/>
        </w:rPr>
        <w:t xml:space="preserve"> ngày 09/4/2026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r>
        <w:rPr>
          <w:rtl w:val="0"/>
        </w:rPr>
        <w:t>2.2. Tổ chức đánh giá sự phù hợp theo pháp luật về tiêu chuẩn, quy chuẩn kỹ thuật và chất lượng sản phẩm hàng hóa.</w:t>
      </w:r>
    </w:p>
    <w:p>
      <w:pPr>
        <w:bidi w:val="0"/>
        <w:spacing w:before="120" w:beforeAutospacing="0" w:after="280" w:afterAutospacing="1"/>
        <w:rPr>
          <w:rtl w:val="0"/>
        </w:rPr>
      </w:pPr>
      <w:r>
        <w:rPr>
          <w:b/>
          <w:bCs/>
          <w:rtl w:val="0"/>
        </w:rPr>
        <w:t xml:space="preserve">3. Sửa đổi </w:t>
      </w:r>
      <w:bookmarkStart w:id="97" w:name="dc_25"/>
      <w:r>
        <w:rPr>
          <w:b/>
          <w:bCs/>
          <w:rtl w:val="0"/>
        </w:rPr>
        <w:t>khoản 3</w:t>
      </w:r>
      <w:bookmarkEnd w:id="97"/>
      <w:r>
        <w:rPr>
          <w:b/>
          <w:bCs/>
          <w:rtl w:val="0"/>
        </w:rPr>
        <w:t xml:space="preserve"> như sau:</w:t>
      </w:r>
    </w:p>
    <w:p>
      <w:pPr>
        <w:bidi w:val="0"/>
        <w:spacing w:before="120" w:beforeAutospacing="0" w:after="280" w:afterAutospacing="1"/>
        <w:rPr>
          <w:rtl w:val="0"/>
        </w:rPr>
      </w:pPr>
      <w:r>
        <w:rPr>
          <w:rtl w:val="0"/>
        </w:rPr>
        <w:t>3. Quy định về sử dụng dấu hợp quy</w:t>
      </w:r>
    </w:p>
    <w:p>
      <w:pPr>
        <w:bidi w:val="0"/>
        <w:spacing w:before="120" w:beforeAutospacing="0" w:after="280" w:afterAutospacing="1"/>
        <w:rPr>
          <w:rtl w:val="0"/>
        </w:rPr>
      </w:pPr>
      <w:r>
        <w:rPr>
          <w:rtl w:val="0"/>
        </w:rPr>
        <w:t xml:space="preserve">Việc sử dụng dấu hợp quy phải tuân thủ theo quy định tại </w:t>
      </w:r>
      <w:bookmarkStart w:id="98" w:name="dc_26"/>
      <w:r>
        <w:rPr>
          <w:rtl w:val="0"/>
        </w:rPr>
        <w:t>khoản 2 Điều 4 Thông tư số 14/2026/TT-BKHCN</w:t>
      </w:r>
      <w:bookmarkEnd w:id="98"/>
      <w:r>
        <w:rPr>
          <w:rtl w:val="0"/>
        </w:rPr>
        <w:t xml:space="preserve"> ngày 09/4/2026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bookmarkStart w:id="99" w:name="muc_4_pl_2"/>
      <w:r>
        <w:rPr>
          <w:b/>
          <w:bCs/>
          <w:rtl w:val="0"/>
        </w:rPr>
        <w:t>IV. Trách nhiệm của tổ chức, cá nhân</w:t>
      </w:r>
      <w:bookmarkEnd w:id="99"/>
    </w:p>
    <w:p>
      <w:pPr>
        <w:bidi w:val="0"/>
        <w:spacing w:before="120" w:beforeAutospacing="0" w:after="280" w:afterAutospacing="1"/>
        <w:rPr>
          <w:rtl w:val="0"/>
        </w:rPr>
      </w:pPr>
      <w:r>
        <w:rPr>
          <w:b/>
          <w:bCs/>
          <w:rtl w:val="0"/>
        </w:rPr>
        <w:t xml:space="preserve">1. Sửa đổi </w:t>
      </w:r>
      <w:bookmarkStart w:id="100" w:name="dc_27"/>
      <w:r>
        <w:rPr>
          <w:b/>
          <w:bCs/>
          <w:rtl w:val="0"/>
        </w:rPr>
        <w:t>khoản 2</w:t>
      </w:r>
      <w:bookmarkEnd w:id="100"/>
      <w:r>
        <w:rPr>
          <w:b/>
          <w:bCs/>
          <w:rtl w:val="0"/>
        </w:rPr>
        <w:t xml:space="preserve"> như sau:</w:t>
      </w:r>
    </w:p>
    <w:p>
      <w:pPr>
        <w:bidi w:val="0"/>
        <w:spacing w:before="120" w:beforeAutospacing="0" w:after="280" w:afterAutospacing="1"/>
        <w:rPr>
          <w:rtl w:val="0"/>
        </w:rPr>
      </w:pPr>
      <w:r>
        <w:rPr>
          <w:rtl w:val="0"/>
        </w:rPr>
        <w:t xml:space="preserve">2. Tổ chức, cá nhân sản xuất, nhập khẩu, kinh doanh Amôniắc công nghiệp sau khi công bố hợp quy thực hiện đăng ký bản công bố hợp quy thông qua Cơ sở dữ liệu quốc gia về tiêu chuẩn, đo lường, chất lượng. Trường hợp Cơ sở dữ liệu quốc gia về tiêu chuẩn, đo lường, chất lượng chưa đáp ứng yêu cầu về hạ tầng kỹ thuật hoặc không thể thực hiện do sự cố kỹ thuật, việc đăng ký bản công bố hợp quy được thực hiện theo hình thức nộp trực tiếp hoặc thông qua dịch vụ bưu chính theo quy định tại </w:t>
      </w:r>
      <w:bookmarkStart w:id="101" w:name="dc_28"/>
      <w:r>
        <w:rPr>
          <w:rtl w:val="0"/>
        </w:rPr>
        <w:t>Điều 13 Thông tư số 14/2026/TT-BKHCN</w:t>
      </w:r>
      <w:bookmarkEnd w:id="101"/>
      <w:r>
        <w:rPr>
          <w:rtl w:val="0"/>
        </w:rPr>
        <w:t xml:space="preserve"> ngày 09 tháng 4 năm 2026 của Bộ trưởng Bộ Khoa học và Công nghệ quy định về công bố hợp chuẩn, công bố hợp quy và phương thức đánh giá sự phù hợp với tiêu chuẩn, quy chuẩn kỹ thuật.</w:t>
      </w:r>
    </w:p>
    <w:p>
      <w:pPr>
        <w:bidi w:val="0"/>
        <w:spacing w:before="120" w:beforeAutospacing="0" w:after="280" w:afterAutospacing="1"/>
        <w:rPr>
          <w:rtl w:val="0"/>
        </w:rPr>
      </w:pPr>
      <w:bookmarkStart w:id="102" w:name="muc_5_pl_2"/>
      <w:r>
        <w:rPr>
          <w:b/>
          <w:bCs/>
          <w:rtl w:val="0"/>
        </w:rPr>
        <w:t>V. Tổ chức thực hiện</w:t>
      </w:r>
      <w:bookmarkEnd w:id="102"/>
    </w:p>
    <w:p>
      <w:pPr>
        <w:bidi w:val="0"/>
        <w:spacing w:before="120" w:beforeAutospacing="0" w:after="280" w:afterAutospacing="1"/>
        <w:rPr>
          <w:rtl w:val="0"/>
        </w:rPr>
      </w:pPr>
      <w:r>
        <w:rPr>
          <w:b/>
          <w:bCs/>
          <w:rtl w:val="0"/>
        </w:rPr>
        <w:t xml:space="preserve">1. Sửa đổi </w:t>
      </w:r>
      <w:bookmarkStart w:id="103" w:name="dc_29"/>
      <w:r>
        <w:rPr>
          <w:b/>
          <w:bCs/>
          <w:rtl w:val="0"/>
        </w:rPr>
        <w:t>khoản 2, khoản 3, khoản 4</w:t>
      </w:r>
      <w:bookmarkEnd w:id="103"/>
      <w:r>
        <w:rPr>
          <w:b/>
          <w:bCs/>
          <w:rtl w:val="0"/>
        </w:rPr>
        <w:t xml:space="preserve"> như sau:</w:t>
      </w:r>
    </w:p>
    <w:p>
      <w:pPr>
        <w:bidi w:val="0"/>
        <w:spacing w:before="120" w:beforeAutospacing="0" w:after="280" w:afterAutospacing="1"/>
        <w:rPr>
          <w:rtl w:val="0"/>
        </w:rPr>
      </w:pPr>
      <w:r>
        <w:rPr>
          <w:rtl w:val="0"/>
        </w:rPr>
        <w:t>2. Cục Quản lý và Phát triển thị trường trong nước có trách nhiệm chủ trì, phối hợp với các cơ quan, tổ chức có liên quan thực hiện kiểm tra, kiểm soát và xử lý vi phạm đối với chất lượng Amôniắc công nghiệp trên thị trường theo Quy chuẩn này và quy định của pháp luật hiện hành.</w:t>
      </w:r>
    </w:p>
    <w:p>
      <w:pPr>
        <w:bidi w:val="0"/>
        <w:spacing w:before="120" w:beforeAutospacing="0" w:after="280" w:afterAutospacing="1"/>
        <w:rPr>
          <w:rtl w:val="0"/>
        </w:rPr>
      </w:pPr>
      <w:r>
        <w:rPr>
          <w:rtl w:val="0"/>
        </w:rPr>
        <w:t>3. Trường hợp các văn bản quy phạm pháp luật, tài liệu, tiêu chuẩn được viện dẫn trong Quy chuẩn này có sự thay đổi, bổ sung hoặc thay thế thì thực hiện theo quy định tại văn bản mới./.</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