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3368"/>
        <w:gridCol w:w="5272"/>
      </w:tblGrid>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color w:val="000000"/>
                <w:rtl w:val="0"/>
              </w:rPr>
              <w:t>BỘ CÔNG THƯƠNG</w:t>
            </w:r>
            <w:r>
              <w:rPr>
                <w:b/>
                <w:bCs/>
                <w:rtl w:val="0"/>
              </w:rPr>
              <w:br/>
            </w:r>
            <w:r>
              <w:rPr>
                <w:b/>
                <w:bCs/>
                <w:rtl w:val="0"/>
              </w:rPr>
              <w:t>-------</w:t>
            </w:r>
          </w:p>
        </w:tc>
        <w:tc>
          <w:tcPr>
            <w:tcW w:w="5642"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color w:val="000000"/>
                <w:rtl w:val="0"/>
              </w:rPr>
              <w:t>Số: 42/2026/TT-BCT</w:t>
            </w:r>
          </w:p>
        </w:tc>
        <w:tc>
          <w:tcPr>
            <w:tcW w:w="5642"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color w:val="000000"/>
                <w:rtl w:val="0"/>
              </w:rPr>
              <w:t>Hà Nội, ngày 29 tháng 7 năm 2026</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THÔNG TƯ</w:t>
      </w:r>
      <w:bookmarkEnd w:id="0"/>
    </w:p>
    <w:p>
      <w:pPr>
        <w:bidi w:val="0"/>
        <w:spacing w:before="120" w:beforeAutospacing="0" w:after="280" w:afterAutospacing="1"/>
        <w:jc w:val="center"/>
      </w:pPr>
      <w:bookmarkStart w:id="1" w:name="loai_1_name"/>
      <w:r>
        <w:rPr>
          <w:color w:val="000000"/>
          <w:rtl w:val="0"/>
        </w:rPr>
        <w:t>QUY ĐỊNH DANH MỤC CHI TIẾT HÀNG HÓA LƯỠNG DỤNG THUỘC THẨM QUYỀN QUẢN LÝ CỦA BỘ CÔNG THƯƠNG</w:t>
      </w:r>
      <w:bookmarkEnd w:id="1"/>
    </w:p>
    <w:p>
      <w:pPr>
        <w:bidi w:val="0"/>
        <w:spacing w:before="120" w:beforeAutospacing="0" w:after="280" w:afterAutospacing="1"/>
      </w:pPr>
      <w:r>
        <w:rPr>
          <w:i/>
          <w:iCs/>
          <w:color w:val="000000"/>
          <w:rtl w:val="0"/>
        </w:rPr>
        <w:t xml:space="preserve">Căn cứ Nghị định số </w:t>
      </w:r>
      <w:bookmarkStart w:id="2" w:name="tvpllink_nyajtqivur"/>
      <w:r>
        <w:rPr>
          <w:i/>
          <w:iCs/>
          <w:color w:val="000000"/>
          <w:rtl w:val="0"/>
        </w:rPr>
        <w:t>40/2025/NĐ-CP</w:t>
      </w:r>
      <w:bookmarkEnd w:id="2"/>
      <w:r>
        <w:rPr>
          <w:i/>
          <w:iCs/>
          <w:color w:val="000000"/>
          <w:rtl w:val="0"/>
        </w:rPr>
        <w:t xml:space="preserve"> của Chính phủ quy định chức năng, nhiệm vụ, quyền hạn và cơ cấu tổ chức của Bộ Công Thương, được sửa đổi, bổ sung bởi Nghị định số </w:t>
      </w:r>
      <w:bookmarkStart w:id="3" w:name="tvpllink_frvrtmfocb"/>
      <w:r>
        <w:rPr>
          <w:i/>
          <w:iCs/>
          <w:color w:val="000000"/>
          <w:rtl w:val="0"/>
        </w:rPr>
        <w:t>109/2025/NĐ-CP</w:t>
      </w:r>
      <w:bookmarkEnd w:id="3"/>
      <w:r>
        <w:rPr>
          <w:i/>
          <w:iCs/>
          <w:color w:val="000000"/>
          <w:rtl w:val="0"/>
        </w:rPr>
        <w:t xml:space="preserve"> và Nghị định số </w:t>
      </w:r>
      <w:bookmarkStart w:id="4" w:name="tvpllink_fyrmoauwhp"/>
      <w:r>
        <w:rPr>
          <w:i/>
          <w:iCs/>
          <w:color w:val="000000"/>
          <w:rtl w:val="0"/>
        </w:rPr>
        <w:t>193/2025/NĐ-CP</w:t>
      </w:r>
      <w:bookmarkEnd w:id="4"/>
      <w:r>
        <w:rPr>
          <w:i/>
          <w:iCs/>
          <w:color w:val="000000"/>
          <w:rtl w:val="0"/>
        </w:rPr>
        <w:t>;</w:t>
      </w:r>
    </w:p>
    <w:p>
      <w:pPr>
        <w:bidi w:val="0"/>
        <w:spacing w:before="120" w:beforeAutospacing="0" w:after="280" w:afterAutospacing="1"/>
      </w:pPr>
      <w:r>
        <w:rPr>
          <w:i/>
          <w:iCs/>
          <w:color w:val="000000"/>
          <w:rtl w:val="0"/>
        </w:rPr>
        <w:t>Căn cứ Nghị định số 259/2025/NĐ-CP của Chính phủ về kiểm soát thương mại chiến lược;</w:t>
      </w:r>
    </w:p>
    <w:p>
      <w:pPr>
        <w:bidi w:val="0"/>
        <w:spacing w:before="120" w:beforeAutospacing="0" w:after="280" w:afterAutospacing="1"/>
      </w:pPr>
      <w:r>
        <w:rPr>
          <w:i/>
          <w:iCs/>
          <w:color w:val="000000"/>
          <w:rtl w:val="0"/>
        </w:rPr>
        <w:t>Theo đề nghị của Cục trưởng Cục Xuất nhập khẩu;</w:t>
      </w:r>
    </w:p>
    <w:p>
      <w:pPr>
        <w:bidi w:val="0"/>
        <w:spacing w:before="120" w:beforeAutospacing="0" w:after="280" w:afterAutospacing="1"/>
      </w:pPr>
      <w:r>
        <w:rPr>
          <w:i/>
          <w:iCs/>
          <w:color w:val="000000"/>
          <w:rtl w:val="0"/>
        </w:rPr>
        <w:t>Bộ trưởng Bộ Công Thương ban hành Thông tư quy định Danh mục chi tiết hàng hóa lưỡng dụng thuộc thẩm quyền quản lý của Bộ Công Thương.</w:t>
      </w:r>
    </w:p>
    <w:p>
      <w:pPr>
        <w:bidi w:val="0"/>
        <w:spacing w:before="120" w:beforeAutospacing="0" w:after="280" w:afterAutospacing="1"/>
      </w:pPr>
      <w:bookmarkStart w:id="5" w:name="dieu_1"/>
      <w:r>
        <w:rPr>
          <w:b/>
          <w:bCs/>
          <w:color w:val="000000"/>
          <w:rtl w:val="0"/>
        </w:rPr>
        <w:t>Điều 1. Danh mục chi tiết hàng hóa lưỡng dụng thuộc thẩm quyền quản lý của Bộ Công Thương</w:t>
      </w:r>
      <w:bookmarkEnd w:id="5"/>
    </w:p>
    <w:p>
      <w:pPr>
        <w:bidi w:val="0"/>
        <w:spacing w:before="120" w:beforeAutospacing="0" w:after="280" w:afterAutospacing="1"/>
      </w:pPr>
      <w:r>
        <w:rPr>
          <w:color w:val="000000"/>
          <w:rtl w:val="0"/>
        </w:rPr>
        <w:t xml:space="preserve">Ban hành Danh mục chi tiết hàng hóa lưỡng dụng thuộc thẩm quyền quản lý của Bộ Công Thương thực hiện </w:t>
      </w:r>
      <w:bookmarkStart w:id="6" w:name="dc_1"/>
      <w:r>
        <w:rPr>
          <w:color w:val="000000"/>
          <w:rtl w:val="0"/>
        </w:rPr>
        <w:t>khoản 2 Điều 7 Nghị định số 259/2025/NĐ-CP</w:t>
      </w:r>
      <w:bookmarkEnd w:id="6"/>
      <w:r>
        <w:rPr>
          <w:color w:val="000000"/>
          <w:rtl w:val="0"/>
        </w:rPr>
        <w:t xml:space="preserve"> tại Phụ lục kèm theo Thông tư này.</w:t>
      </w:r>
    </w:p>
    <w:p>
      <w:pPr>
        <w:bidi w:val="0"/>
        <w:spacing w:before="120" w:beforeAutospacing="0" w:after="280" w:afterAutospacing="1"/>
      </w:pPr>
      <w:bookmarkStart w:id="7" w:name="dieu_2"/>
      <w:r>
        <w:rPr>
          <w:b/>
          <w:bCs/>
          <w:color w:val="000000"/>
          <w:rtl w:val="0"/>
          <w:lang w:val="nl-NL" w:eastAsia="nl-NL"/>
        </w:rPr>
        <w:t>Điều 2. Hiệu lực thi hành</w:t>
      </w:r>
      <w:bookmarkEnd w:id="7"/>
    </w:p>
    <w:p>
      <w:pPr>
        <w:bidi w:val="0"/>
        <w:spacing w:before="120" w:beforeAutospacing="0" w:after="280" w:afterAutospacing="1"/>
      </w:pPr>
      <w:r>
        <w:rPr>
          <w:color w:val="000000"/>
          <w:rtl w:val="0"/>
          <w:lang w:val="nl-NL" w:eastAsia="nl-NL"/>
        </w:rPr>
        <w:t>1. Thông tư này có hiệu lực thi hành kể từ ngày 12 tháng 9 năm 2026.</w:t>
      </w:r>
    </w:p>
    <w:p>
      <w:pPr>
        <w:bidi w:val="0"/>
        <w:spacing w:before="120" w:beforeAutospacing="0" w:after="280" w:afterAutospacing="1"/>
      </w:pPr>
      <w:r>
        <w:rPr>
          <w:color w:val="000000"/>
          <w:rtl w:val="0"/>
          <w:lang w:val="nl-NL" w:eastAsia="nl-NL"/>
        </w:rPr>
        <w:t>2. Trong quá trình thực hiện Thông tư này, nếu phát sinh vướng mắc, thương nhân, các cơ quan, tổ chức có liên quan phản ánh bằng văn bản về Bộ Công Thương (Cục Xuất nhập khẩu) để xử lý./.</w:t>
      </w:r>
    </w:p>
    <w:p>
      <w:pPr>
        <w:bidi w:val="0"/>
        <w:spacing w:before="120" w:beforeAutospacing="0" w:after="280" w:afterAutospacing="1"/>
      </w:pPr>
      <w:r>
        <w:rPr>
          <w:color w:val="000000"/>
          <w:rtl w:val="0"/>
          <w:lang w:val="nl-NL" w:eastAsia="nl-NL"/>
        </w:rPr>
        <w:t> </w:t>
      </w:r>
    </w:p>
    <w:tbl>
      <w:tblPr>
        <w:jc w:val="left"/>
        <w:tblCellMar>
          <w:top w:w="0" w:type="dxa"/>
          <w:left w:w="0" w:type="dxa"/>
          <w:bottom w:w="0" w:type="dxa"/>
          <w:right w:w="0" w:type="dxa"/>
        </w:tblCellMar>
      </w:tblPr>
      <w:tblGrid>
        <w:gridCol w:w="4299"/>
        <w:gridCol w:w="4341"/>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b/>
                <w:bCs/>
                <w:i/>
                <w:iCs/>
                <w:rtl w:val="0"/>
              </w:rPr>
              <w:br/>
            </w:r>
            <w:r>
              <w:rPr>
                <w:b/>
                <w:bCs/>
                <w:i/>
                <w:iCs/>
                <w:rtl w:val="0"/>
              </w:rPr>
              <w:t>Nơi nhận:</w:t>
            </w:r>
            <w:r>
              <w:rPr>
                <w:b/>
                <w:bCs/>
                <w:i/>
                <w:iCs/>
                <w:rtl w:val="0"/>
              </w:rPr>
              <w:br/>
            </w:r>
            <w:r>
              <w:rPr>
                <w:sz w:val="16"/>
                <w:rtl w:val="0"/>
              </w:rPr>
              <w:t>- Văn phòng Tổng Bí thư;</w:t>
            </w:r>
            <w:r>
              <w:rPr>
                <w:sz w:val="16"/>
                <w:rtl w:val="0"/>
              </w:rPr>
              <w:br/>
            </w:r>
            <w:r>
              <w:rPr>
                <w:sz w:val="16"/>
                <w:rtl w:val="0"/>
              </w:rPr>
              <w:t>- Văn phòng Chủ tịch nước;</w:t>
            </w:r>
            <w:r>
              <w:rPr>
                <w:sz w:val="16"/>
                <w:rtl w:val="0"/>
              </w:rPr>
              <w:br/>
            </w:r>
            <w:r>
              <w:rPr>
                <w:sz w:val="16"/>
                <w:rtl w:val="0"/>
              </w:rPr>
              <w:t>- Văn phòng Quốc hội;</w:t>
            </w:r>
            <w:r>
              <w:rPr>
                <w:sz w:val="16"/>
                <w:rtl w:val="0"/>
              </w:rPr>
              <w:br/>
            </w:r>
            <w:r>
              <w:rPr>
                <w:sz w:val="16"/>
                <w:rtl w:val="0"/>
              </w:rPr>
              <w:t>- Ủy ban Thường vụ Quốc hội;</w:t>
            </w:r>
            <w:r>
              <w:rPr>
                <w:sz w:val="16"/>
                <w:rtl w:val="0"/>
              </w:rPr>
              <w:br/>
            </w:r>
            <w:r>
              <w:rPr>
                <w:sz w:val="16"/>
                <w:rtl w:val="0"/>
              </w:rPr>
              <w:t>- Hội đồng Dân tộc và các Ủy ban của Quốc hội;</w:t>
            </w:r>
            <w:r>
              <w:rPr>
                <w:sz w:val="16"/>
                <w:rtl w:val="0"/>
              </w:rPr>
              <w:br/>
            </w:r>
            <w:r>
              <w:rPr>
                <w:sz w:val="16"/>
                <w:rtl w:val="0"/>
              </w:rPr>
              <w:t>- Văn phòng Chính phủ;</w:t>
            </w:r>
            <w:r>
              <w:rPr>
                <w:sz w:val="16"/>
                <w:rtl w:val="0"/>
              </w:rPr>
              <w:br/>
            </w:r>
            <w:r>
              <w:rPr>
                <w:sz w:val="16"/>
                <w:rtl w:val="0"/>
              </w:rPr>
              <w:t>- Thủ tướng, các Phó Thủ tướng Chính phủ;</w:t>
            </w:r>
            <w:r>
              <w:rPr>
                <w:sz w:val="16"/>
                <w:rtl w:val="0"/>
              </w:rPr>
              <w:br/>
            </w:r>
            <w:r>
              <w:rPr>
                <w:sz w:val="16"/>
                <w:rtl w:val="0"/>
              </w:rPr>
              <w:t>- Các bộ, cơ quan ngang bộ, cơ quan thuộc Chính phủ;</w:t>
            </w:r>
            <w:r>
              <w:rPr>
                <w:sz w:val="16"/>
                <w:rtl w:val="0"/>
              </w:rPr>
              <w:br/>
            </w:r>
            <w:r>
              <w:rPr>
                <w:sz w:val="16"/>
                <w:rtl w:val="0"/>
              </w:rPr>
              <w:t>- Viện Kiểm sát nhân dân tối cao; Tòa án nhân dân tối cao;</w:t>
            </w:r>
            <w:r>
              <w:rPr>
                <w:sz w:val="16"/>
                <w:rtl w:val="0"/>
              </w:rPr>
              <w:br/>
            </w:r>
            <w:r>
              <w:rPr>
                <w:sz w:val="16"/>
                <w:rtl w:val="0"/>
              </w:rPr>
              <w:t>- Kiểm toán nhà nước;</w:t>
            </w:r>
            <w:r>
              <w:rPr>
                <w:sz w:val="16"/>
                <w:rtl w:val="0"/>
              </w:rPr>
              <w:br/>
            </w:r>
            <w:r>
              <w:rPr>
                <w:sz w:val="16"/>
                <w:rtl w:val="0"/>
              </w:rPr>
              <w:t>- Ủy ban Trung ương Mặt trận Tổ quốc Việt Nam;</w:t>
            </w:r>
            <w:r>
              <w:rPr>
                <w:sz w:val="16"/>
                <w:rtl w:val="0"/>
              </w:rPr>
              <w:br/>
            </w:r>
            <w:r>
              <w:rPr>
                <w:sz w:val="16"/>
                <w:rtl w:val="0"/>
              </w:rPr>
              <w:t>- UBND, HĐND các tỉnh, thành phố;</w:t>
            </w:r>
            <w:r>
              <w:rPr>
                <w:sz w:val="16"/>
                <w:rtl w:val="0"/>
              </w:rPr>
              <w:br/>
            </w:r>
            <w:r>
              <w:rPr>
                <w:sz w:val="16"/>
                <w:rtl w:val="0"/>
              </w:rPr>
              <w:t>- Cục Kiểm tra văn bản và Tổ chức thi hành pháp luật, Bộ Tư pháp;</w:t>
            </w:r>
            <w:r>
              <w:rPr>
                <w:sz w:val="16"/>
                <w:rtl w:val="0"/>
              </w:rPr>
              <w:br/>
            </w:r>
            <w:r>
              <w:rPr>
                <w:sz w:val="16"/>
                <w:rtl w:val="0"/>
              </w:rPr>
              <w:t>- Các Lãnh đạo Bộ;</w:t>
            </w:r>
            <w:r>
              <w:rPr>
                <w:sz w:val="16"/>
                <w:rtl w:val="0"/>
              </w:rPr>
              <w:br/>
            </w:r>
            <w:r>
              <w:rPr>
                <w:sz w:val="16"/>
                <w:rtl w:val="0"/>
              </w:rPr>
              <w:t>- Sở Công Thương các tỉnh, thành phố;</w:t>
            </w:r>
            <w:r>
              <w:rPr>
                <w:sz w:val="16"/>
                <w:rtl w:val="0"/>
              </w:rPr>
              <w:br/>
            </w:r>
            <w:r>
              <w:rPr>
                <w:sz w:val="16"/>
                <w:rtl w:val="0"/>
              </w:rPr>
              <w:t>- Cổng thông tin điện tử Chính phủ; Cổng thông tin điện tử Bộ Công Thương;</w:t>
            </w:r>
            <w:r>
              <w:rPr>
                <w:sz w:val="16"/>
                <w:rtl w:val="0"/>
              </w:rPr>
              <w:br/>
            </w:r>
            <w:r>
              <w:rPr>
                <w:sz w:val="16"/>
                <w:rtl w:val="0"/>
              </w:rPr>
              <w:t>- Công báo;</w:t>
            </w:r>
            <w:r>
              <w:rPr>
                <w:sz w:val="16"/>
                <w:rtl w:val="0"/>
              </w:rPr>
              <w:br/>
            </w:r>
            <w:r>
              <w:rPr>
                <w:sz w:val="16"/>
                <w:rtl w:val="0"/>
              </w:rPr>
              <w:t>- Lưu: VT, XNK (5b).</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color w:val="000000"/>
                <w:rtl w:val="0"/>
                <w:lang w:val="de-DE" w:eastAsia="de-DE"/>
              </w:rPr>
              <w:t>KT. BỘ TRƯỞNG</w:t>
            </w:r>
            <w:r>
              <w:rPr>
                <w:b/>
                <w:bCs/>
                <w:color w:val="000000"/>
                <w:rtl w:val="0"/>
                <w:lang w:val="de-DE" w:eastAsia="de-DE"/>
              </w:rPr>
              <w:br/>
            </w:r>
            <w:r>
              <w:rPr>
                <w:b/>
                <w:bCs/>
                <w:color w:val="000000"/>
                <w:rtl w:val="0"/>
                <w:lang w:val="de-DE" w:eastAsia="de-DE"/>
              </w:rPr>
              <w:t>THỨ TRƯỞNG</w:t>
            </w:r>
            <w:r>
              <w:rPr>
                <w:b/>
                <w:bCs/>
                <w:color w:val="000000"/>
                <w:rtl w:val="0"/>
                <w:lang w:val="de-DE" w:eastAsia="de-DE"/>
              </w:rPr>
              <w:br/>
            </w:r>
            <w:r>
              <w:rPr>
                <w:b/>
                <w:bCs/>
                <w:color w:val="000000"/>
                <w:rtl w:val="0"/>
                <w:lang w:val="de-DE" w:eastAsia="de-DE"/>
              </w:rPr>
              <w:br/>
            </w:r>
            <w:r>
              <w:rPr>
                <w:b/>
                <w:bCs/>
                <w:color w:val="000000"/>
                <w:rtl w:val="0"/>
                <w:lang w:val="de-DE" w:eastAsia="de-DE"/>
              </w:rPr>
              <w:br/>
            </w:r>
            <w:r>
              <w:rPr>
                <w:b/>
                <w:bCs/>
                <w:color w:val="000000"/>
                <w:rtl w:val="0"/>
                <w:lang w:val="de-DE" w:eastAsia="de-DE"/>
              </w:rPr>
              <w:br/>
            </w:r>
            <w:r>
              <w:rPr>
                <w:b/>
                <w:bCs/>
                <w:color w:val="000000"/>
                <w:rtl w:val="0"/>
                <w:lang w:val="de-DE" w:eastAsia="de-DE"/>
              </w:rPr>
              <w:br/>
            </w:r>
            <w:r>
              <w:rPr>
                <w:b/>
                <w:bCs/>
                <w:rtl w:val="0"/>
              </w:rPr>
              <w:t>Nguyễn Sinh Nhật Tân</w:t>
            </w:r>
          </w:p>
        </w:tc>
      </w:tr>
    </w:tbl>
    <w:p>
      <w:pPr>
        <w:bidi w:val="0"/>
        <w:spacing w:before="120" w:beforeAutospacing="0" w:after="280" w:afterAutospacing="1"/>
      </w:pPr>
      <w:r>
        <w:rPr>
          <w:color w:val="000000"/>
          <w:rtl w:val="0"/>
          <w:lang w:val="nl-NL" w:eastAsia="nl-NL"/>
        </w:rPr>
        <w:t> </w:t>
      </w:r>
    </w:p>
    <w:p>
      <w:pPr>
        <w:bidi w:val="0"/>
        <w:spacing w:before="120" w:beforeAutospacing="0" w:after="280" w:afterAutospacing="1"/>
        <w:jc w:val="center"/>
      </w:pPr>
      <w:bookmarkStart w:id="8" w:name="chuong_pl"/>
      <w:r>
        <w:rPr>
          <w:b/>
          <w:bCs/>
          <w:sz w:val="22"/>
          <w:rtl w:val="0"/>
        </w:rPr>
        <w:t>PHỤ LỤC</w:t>
      </w:r>
      <w:bookmarkEnd w:id="8"/>
    </w:p>
    <w:p>
      <w:pPr>
        <w:bidi w:val="0"/>
        <w:spacing w:before="120" w:beforeAutospacing="0" w:after="280" w:afterAutospacing="1"/>
        <w:jc w:val="center"/>
      </w:pPr>
      <w:bookmarkStart w:id="9" w:name="chuong_pl_name"/>
      <w:r>
        <w:rPr>
          <w:color w:val="000000"/>
          <w:rtl w:val="0"/>
        </w:rPr>
        <w:t>DANH MỤC CHI TIẾT HÀNG HÓA LƯỠNG DỤNG THUỘC THẨM QUYỀN QUẢN LÝ CỦA BỘ CÔNG THƯƠNG</w:t>
      </w:r>
      <w:bookmarkEnd w:id="9"/>
      <w:r>
        <w:rPr>
          <w:rtl w:val="0"/>
        </w:rPr>
        <w:br/>
      </w:r>
      <w:r>
        <w:rPr>
          <w:i/>
          <w:iCs/>
          <w:color w:val="000000"/>
          <w:rtl w:val="0"/>
        </w:rPr>
        <w:t>(Ban hành kèm theo Thông tư số 42/2026/TT-BCT ngày 29 tháng 7 năm 2026 của Bộ trưởng Bộ Công Thương)</w:t>
      </w:r>
    </w:p>
    <w:p>
      <w:pPr>
        <w:bidi w:val="0"/>
        <w:spacing w:before="120" w:beforeAutospacing="0" w:after="280" w:afterAutospacing="1"/>
      </w:pPr>
      <w:r>
        <w:rPr>
          <w:b/>
          <w:bCs/>
          <w:color w:val="000000"/>
          <w:rtl w:val="0"/>
        </w:rPr>
        <w:t>NGUYÊN TẮC ÁP DỤNG</w:t>
      </w:r>
    </w:p>
    <w:p>
      <w:pPr>
        <w:bidi w:val="0"/>
        <w:spacing w:before="120" w:beforeAutospacing="0" w:after="280" w:afterAutospacing="1"/>
      </w:pPr>
      <w:r>
        <w:rPr>
          <w:color w:val="000000"/>
          <w:rtl w:val="0"/>
        </w:rPr>
        <w:t>1. Trường hợp chỉ liệt kê mã 4 số thì toàn bộ các mã 8 số thuộc nhóm 4 số này đều nằm trong Danh mục.</w:t>
      </w:r>
    </w:p>
    <w:p>
      <w:pPr>
        <w:bidi w:val="0"/>
        <w:spacing w:before="120" w:beforeAutospacing="0" w:after="280" w:afterAutospacing="1"/>
      </w:pPr>
      <w:r>
        <w:rPr>
          <w:color w:val="000000"/>
          <w:rtl w:val="0"/>
        </w:rPr>
        <w:t>2. Trường hợp chỉ liệt kê mã 6 số thì toàn bộ các mã 8 số thuộc phân nhóm 6 số này đều nằm trong Danh mục.</w:t>
      </w:r>
    </w:p>
    <w:p>
      <w:pPr>
        <w:bidi w:val="0"/>
        <w:spacing w:before="120" w:beforeAutospacing="0" w:after="280" w:afterAutospacing="1"/>
      </w:pPr>
      <w:r>
        <w:rPr>
          <w:color w:val="000000"/>
          <w:rtl w:val="0"/>
        </w:rPr>
        <w:t>3. Trường hợp liệt kê chi tiết đến mã 8 số thì chỉ những mã 8 số đó mới nằm trong Danh mục.</w:t>
      </w:r>
    </w:p>
    <w:p>
      <w:pPr>
        <w:bidi w:val="0"/>
        <w:spacing w:before="120" w:beforeAutospacing="0" w:after="280" w:afterAutospacing="1"/>
      </w:pPr>
      <w:r>
        <w:rPr>
          <w:color w:val="000000"/>
          <w:rtl w:val="0"/>
        </w:rPr>
        <w:t>4. Mã số phân loại kiểm soát xuất khẩu của Danh mục hàng hóa lưỡng dụng của Liên minh châu Âu (Mã số ECCN): được sử dụng cho mục đích tham chiếu.</w:t>
      </w:r>
    </w:p>
    <w:tbl>
      <w:tblPr>
        <w:tblW w:w="5000" w:type="pct"/>
        <w:jc w:val="left"/>
        <w:tblCellMar>
          <w:top w:w="0" w:type="dxa"/>
          <w:left w:w="0" w:type="dxa"/>
          <w:bottom w:w="0" w:type="dxa"/>
          <w:right w:w="0" w:type="dxa"/>
        </w:tblCellMar>
      </w:tblPr>
      <w:tblGrid>
        <w:gridCol w:w="669"/>
        <w:gridCol w:w="1457"/>
        <w:gridCol w:w="1953"/>
        <w:gridCol w:w="3095"/>
        <w:gridCol w:w="1466"/>
      </w:tblGrid>
      <w:tr>
        <w:tblPrEx>
          <w:tblW w:w="5000" w:type="pct"/>
          <w:jc w:val="left"/>
          <w:tblCellMar>
            <w:top w:w="0" w:type="dxa"/>
            <w:left w:w="0" w:type="dxa"/>
            <w:bottom w:w="0" w:type="dxa"/>
            <w:right w:w="0" w:type="dxa"/>
          </w:tblCellMar>
        </w:tblPrEx>
        <w:trPr>
          <w:jc w:val="left"/>
        </w:trPr>
        <w:tc>
          <w:tcPr>
            <w:tcW w:w="388" w:type="pct"/>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STT</w:t>
            </w:r>
          </w:p>
        </w:tc>
        <w:tc>
          <w:tcPr>
            <w:tcW w:w="845" w:type="pct"/>
            <w:tcBorders>
              <w:top w:val="single" w:sz="8" w:space="0" w:color="000000"/>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Mã HS</w:t>
            </w:r>
          </w:p>
        </w:tc>
        <w:tc>
          <w:tcPr>
            <w:tcW w:w="1119" w:type="pct"/>
            <w:tcBorders>
              <w:top w:val="single" w:sz="8" w:space="0" w:color="000000"/>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Mô tả hàng hóa</w:t>
            </w:r>
          </w:p>
        </w:tc>
        <w:tc>
          <w:tcPr>
            <w:tcW w:w="1797" w:type="pct"/>
            <w:tcBorders>
              <w:top w:val="single" w:sz="8" w:space="0" w:color="000000"/>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Đặc điểm kỹ thuật, công nghệ</w:t>
            </w:r>
          </w:p>
        </w:tc>
        <w:tc>
          <w:tcPr>
            <w:tcW w:w="851" w:type="pct"/>
            <w:tcBorders>
              <w:top w:val="single" w:sz="8" w:space="0" w:color="000000"/>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Mã số ECCN tham chiếu</w:t>
            </w:r>
          </w:p>
        </w:tc>
      </w:tr>
      <w:tr>
        <w:tblPrEx>
          <w:tblW w:w="5000" w:type="pct"/>
          <w:jc w:val="left"/>
          <w:tblCellMar>
            <w:top w:w="0" w:type="dxa"/>
            <w:left w:w="0" w:type="dxa"/>
            <w:bottom w:w="0" w:type="dxa"/>
            <w:right w:w="0" w:type="dxa"/>
          </w:tblCellMar>
        </w:tblPrEx>
        <w:trPr>
          <w:jc w:val="left"/>
        </w:trPr>
        <w:tc>
          <w:tcPr>
            <w:tcW w:w="388"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bookmarkStart w:id="10" w:name="muc_1_pl"/>
            <w:r>
              <w:rPr>
                <w:b/>
                <w:bCs/>
                <w:color w:val="000000"/>
                <w:rtl w:val="0"/>
              </w:rPr>
              <w:t>I</w:t>
            </w:r>
            <w:bookmarkEnd w:id="10"/>
          </w:p>
        </w:tc>
        <w:tc>
          <w:tcPr>
            <w:tcW w:w="4612" w:type="pct"/>
            <w:gridSpan w:val="4"/>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bookmarkStart w:id="11" w:name="muc_1_pl_name"/>
            <w:r>
              <w:rPr>
                <w:b/>
                <w:bCs/>
                <w:color w:val="000000"/>
                <w:rtl w:val="0"/>
              </w:rPr>
              <w:t>Điện tử</w:t>
            </w:r>
            <w:bookmarkEnd w:id="11"/>
          </w:p>
        </w:tc>
      </w:tr>
      <w:tr>
        <w:tblPrEx>
          <w:tblW w:w="5000" w:type="pct"/>
          <w:jc w:val="left"/>
          <w:tblCellMar>
            <w:top w:w="0" w:type="dxa"/>
            <w:left w:w="0" w:type="dxa"/>
            <w:bottom w:w="0" w:type="dxa"/>
            <w:right w:w="0" w:type="dxa"/>
          </w:tblCellMar>
        </w:tblPrEx>
        <w:trPr>
          <w:jc w:val="left"/>
        </w:trPr>
        <w:tc>
          <w:tcPr>
            <w:tcW w:w="388"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w:t>
            </w:r>
          </w:p>
        </w:tc>
        <w:tc>
          <w:tcPr>
            <w:tcW w:w="84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85044090</w:t>
            </w:r>
          </w:p>
        </w:tc>
        <w:tc>
          <w:tcPr>
            <w:tcW w:w="111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Nguồn cung cấp điện một chiều công suất cao</w:t>
            </w:r>
          </w:p>
        </w:tc>
        <w:tc>
          <w:tcPr>
            <w:tcW w:w="179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280" w:afterAutospacing="1"/>
            </w:pPr>
            <w:r>
              <w:rPr>
                <w:color w:val="000000"/>
                <w:rtl w:val="0"/>
              </w:rPr>
              <w:t>- Là máy biến đổi tĩnh điện có cả hai đặc điểm sau:</w:t>
            </w:r>
          </w:p>
          <w:p>
            <w:pPr>
              <w:bidi w:val="0"/>
              <w:spacing w:before="120" w:beforeAutospacing="0" w:after="280" w:afterAutospacing="1"/>
              <w:rPr>
                <w:rtl w:val="0"/>
              </w:rPr>
            </w:pPr>
            <w:r>
              <w:rPr>
                <w:color w:val="000000"/>
                <w:rtl w:val="0"/>
              </w:rPr>
              <w:t>(i) Có khả năng sản xuất liên tục trong khoảng thời gian 8 giờ, điện áp 100 V trở lên với dòng điện đầu ra 500 A trở lên;</w:t>
            </w:r>
          </w:p>
          <w:p>
            <w:pPr>
              <w:bidi w:val="0"/>
              <w:spacing w:before="120" w:beforeAutospacing="0" w:after="280" w:afterAutospacing="1"/>
              <w:rPr>
                <w:rtl w:val="0"/>
              </w:rPr>
            </w:pPr>
            <w:r>
              <w:rPr>
                <w:color w:val="000000"/>
                <w:rtl w:val="0"/>
              </w:rPr>
              <w:t>(ii) Độ ổn định dòng điện hoặc điện áp tốt hơn 0,1% trong khoảng thời gian 8 giờ.</w:t>
            </w:r>
          </w:p>
          <w:p>
            <w:pPr>
              <w:bidi w:val="0"/>
              <w:spacing w:before="120" w:beforeAutospacing="0" w:after="280" w:afterAutospacing="1"/>
              <w:rPr>
                <w:rtl w:val="0"/>
              </w:rPr>
            </w:pPr>
            <w:r>
              <w:rPr>
                <w:color w:val="000000"/>
                <w:rtl w:val="0"/>
              </w:rPr>
              <w:t>- Không bao gồm: Bộ nguồn nam châm điện (loại công suất cao, dòng điện một chiều) có tất cả các đặc tính: có khả năng vận hành liên tục với dòng điện đầu ra từ 500 A trở lên ở điện áp từ 100 V trở lên; và có khả năng điều chỉnh dòng điện hoặc điện áp tốt hơn 0,01% trong khoảng thời gian 8 giờ.</w:t>
            </w:r>
          </w:p>
          <w:p>
            <w:pPr>
              <w:bidi w:val="0"/>
              <w:spacing w:before="120" w:beforeAutospacing="0" w:after="0" w:afterAutospacing="0"/>
              <w:rPr>
                <w:rtl w:val="0"/>
              </w:rPr>
            </w:pPr>
            <w:r>
              <w:rPr>
                <w:color w:val="000000"/>
                <w:rtl w:val="0"/>
              </w:rPr>
              <w:t>- Không phải loại dùng cho các máy xử lý dữ liệu tự động và các khối chức năng của chúng và thiết bị viễn thông; không phải máy nạp ắc quy, pin có công suất danh định trên 100 kVA; không phải bộ chỉnh lưu; không phải bộ nghịch lưu.</w:t>
            </w:r>
          </w:p>
        </w:tc>
        <w:tc>
          <w:tcPr>
            <w:tcW w:w="85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3A226</w:t>
            </w:r>
          </w:p>
        </w:tc>
      </w:tr>
      <w:tr>
        <w:tblPrEx>
          <w:tblW w:w="5000" w:type="pct"/>
          <w:jc w:val="left"/>
          <w:tblCellMar>
            <w:top w:w="0" w:type="dxa"/>
            <w:left w:w="0" w:type="dxa"/>
            <w:bottom w:w="0" w:type="dxa"/>
            <w:right w:w="0" w:type="dxa"/>
          </w:tblCellMar>
        </w:tblPrEx>
        <w:trPr>
          <w:jc w:val="left"/>
        </w:trPr>
        <w:tc>
          <w:tcPr>
            <w:tcW w:w="388"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2</w:t>
            </w:r>
          </w:p>
        </w:tc>
        <w:tc>
          <w:tcPr>
            <w:tcW w:w="84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85044090</w:t>
            </w:r>
          </w:p>
        </w:tc>
        <w:tc>
          <w:tcPr>
            <w:tcW w:w="111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Nguồn cung cấp điện một chiều điện áp cao</w:t>
            </w:r>
          </w:p>
        </w:tc>
        <w:tc>
          <w:tcPr>
            <w:tcW w:w="179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280" w:afterAutospacing="1"/>
            </w:pPr>
            <w:r>
              <w:rPr>
                <w:color w:val="000000"/>
                <w:rtl w:val="0"/>
              </w:rPr>
              <w:t>- Là máy biến đổi tĩnh điện có cả hai đặc điểm sau:</w:t>
            </w:r>
          </w:p>
          <w:p>
            <w:pPr>
              <w:bidi w:val="0"/>
              <w:spacing w:before="120" w:beforeAutospacing="0" w:after="280" w:afterAutospacing="1"/>
              <w:rPr>
                <w:rtl w:val="0"/>
              </w:rPr>
            </w:pPr>
            <w:r>
              <w:rPr>
                <w:color w:val="000000"/>
                <w:rtl w:val="0"/>
              </w:rPr>
              <w:t>(i) Có khả năng sản xuất liên tục trong khoảng thời gian 8 giờ, với điện áp 20 kV trở lên và dòng điện đầu ra 1 A trở lên;</w:t>
            </w:r>
          </w:p>
          <w:p>
            <w:pPr>
              <w:bidi w:val="0"/>
              <w:spacing w:before="120" w:beforeAutospacing="0" w:after="280" w:afterAutospacing="1"/>
              <w:rPr>
                <w:rtl w:val="0"/>
              </w:rPr>
            </w:pPr>
            <w:r>
              <w:rPr>
                <w:color w:val="000000"/>
                <w:rtl w:val="0"/>
              </w:rPr>
              <w:t>(ii) Độ ổn định dòng điện hoặc điện áp tốt hơn 0,1% trong khoảng thời gian 8 giờ.</w:t>
            </w:r>
          </w:p>
          <w:p>
            <w:pPr>
              <w:bidi w:val="0"/>
              <w:spacing w:before="120" w:beforeAutospacing="0" w:after="280" w:afterAutospacing="1"/>
              <w:rPr>
                <w:rtl w:val="0"/>
              </w:rPr>
            </w:pPr>
            <w:r>
              <w:rPr>
                <w:color w:val="000000"/>
                <w:rtl w:val="0"/>
              </w:rPr>
              <w:t>- Không bao gồm: Bộ nguồn cao áp dùng cho nguồn ion, có đồng thời các đặc tính sau: có khả năng vận hành liên tục; điện áp đầu ra không nhỏ hơn 20.000 V; dòng điện đầu ra từ 1A trở lên; và độ ổn định điện áp tốt hơn 0,01% trong thời gian 8 giờ.</w:t>
            </w:r>
          </w:p>
          <w:p>
            <w:pPr>
              <w:bidi w:val="0"/>
              <w:spacing w:before="120" w:beforeAutospacing="0" w:after="0" w:afterAutospacing="0"/>
              <w:rPr>
                <w:rtl w:val="0"/>
              </w:rPr>
            </w:pPr>
            <w:r>
              <w:rPr>
                <w:color w:val="000000"/>
                <w:rtl w:val="0"/>
              </w:rPr>
              <w:t>- Không phải loại dùng cho các máy xử lý dữ liệu tự động và các khối chức năng của chúng và thiết bị viễn thông; không phải máy nạp ắc quy, pin có công suất danh định trên 100 kVA; không phải bộ chỉnh lưu; không phải bộ nghịch lưu.</w:t>
            </w:r>
          </w:p>
        </w:tc>
        <w:tc>
          <w:tcPr>
            <w:tcW w:w="85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3A227</w:t>
            </w:r>
          </w:p>
        </w:tc>
      </w:tr>
      <w:tr>
        <w:tblPrEx>
          <w:tblW w:w="5000" w:type="pct"/>
          <w:jc w:val="left"/>
          <w:tblCellMar>
            <w:top w:w="0" w:type="dxa"/>
            <w:left w:w="0" w:type="dxa"/>
            <w:bottom w:w="0" w:type="dxa"/>
            <w:right w:w="0" w:type="dxa"/>
          </w:tblCellMar>
        </w:tblPrEx>
        <w:trPr>
          <w:jc w:val="left"/>
        </w:trPr>
        <w:tc>
          <w:tcPr>
            <w:tcW w:w="388"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3</w:t>
            </w:r>
          </w:p>
        </w:tc>
        <w:tc>
          <w:tcPr>
            <w:tcW w:w="84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280" w:afterAutospacing="1"/>
              <w:jc w:val="center"/>
            </w:pPr>
            <w:r>
              <w:rPr>
                <w:color w:val="000000"/>
                <w:rtl w:val="0"/>
              </w:rPr>
              <w:t>85044040</w:t>
            </w:r>
          </w:p>
          <w:p>
            <w:pPr>
              <w:bidi w:val="0"/>
              <w:spacing w:before="120" w:beforeAutospacing="0" w:after="0" w:afterAutospacing="0"/>
              <w:jc w:val="center"/>
              <w:rPr>
                <w:rtl w:val="0"/>
              </w:rPr>
            </w:pPr>
            <w:r>
              <w:rPr>
                <w:color w:val="000000"/>
                <w:rtl w:val="0"/>
              </w:rPr>
              <w:t>85044090</w:t>
            </w:r>
          </w:p>
        </w:tc>
        <w:tc>
          <w:tcPr>
            <w:tcW w:w="111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Bộ biến đổi tần số (bộ chuyển đổi hoặc bộ nghịch lưu)</w:t>
            </w:r>
          </w:p>
        </w:tc>
        <w:tc>
          <w:tcPr>
            <w:tcW w:w="179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280" w:afterAutospacing="1"/>
            </w:pPr>
            <w:r>
              <w:rPr>
                <w:color w:val="000000"/>
                <w:rtl w:val="0"/>
              </w:rPr>
              <w:t>- Là máy biến đổi tĩnh điện có thể sử dụng làm bộ điều khiển động cơ tần số biến đổi hoặc tần số cố định và có tất cả các đặc tính sau:</w:t>
            </w:r>
          </w:p>
          <w:p>
            <w:pPr>
              <w:bidi w:val="0"/>
              <w:spacing w:before="120" w:beforeAutospacing="0" w:after="280" w:afterAutospacing="1"/>
              <w:rPr>
                <w:rtl w:val="0"/>
              </w:rPr>
            </w:pPr>
            <w:r>
              <w:rPr>
                <w:color w:val="000000"/>
                <w:rtl w:val="0"/>
              </w:rPr>
              <w:t>(i) Đầu ra đa pha cung cấp công suất 40VA trở lên.</w:t>
            </w:r>
          </w:p>
          <w:p>
            <w:pPr>
              <w:bidi w:val="0"/>
              <w:spacing w:before="120" w:beforeAutospacing="0" w:after="280" w:afterAutospacing="1"/>
              <w:rPr>
                <w:rtl w:val="0"/>
              </w:rPr>
            </w:pPr>
            <w:r>
              <w:rPr>
                <w:color w:val="000000"/>
                <w:rtl w:val="0"/>
              </w:rPr>
              <w:t>(ii) Hoạt động ở tần số 600 Hz trở lên.</w:t>
            </w:r>
          </w:p>
          <w:p>
            <w:pPr>
              <w:bidi w:val="0"/>
              <w:spacing w:before="120" w:beforeAutospacing="0" w:after="280" w:afterAutospacing="1"/>
              <w:rPr>
                <w:rtl w:val="0"/>
              </w:rPr>
            </w:pPr>
            <w:r>
              <w:rPr>
                <w:color w:val="000000"/>
                <w:rtl w:val="0"/>
              </w:rPr>
              <w:t>(iii) Bước điều khiển (hay độ chính xác tần số) nhỏ hơn 0,2%.</w:t>
            </w:r>
          </w:p>
          <w:p>
            <w:pPr>
              <w:bidi w:val="0"/>
              <w:spacing w:before="120" w:beforeAutospacing="0" w:after="280" w:afterAutospacing="1"/>
              <w:rPr>
                <w:rtl w:val="0"/>
              </w:rPr>
            </w:pPr>
            <w:r>
              <w:rPr>
                <w:color w:val="000000"/>
                <w:rtl w:val="0"/>
              </w:rPr>
              <w:t>- Không bao gồm: Các bộ biến đổi tần số, bao gồm bộ chuyển đổi hoặc bộ nghịch lưu, được thiết kế hoặc chuẩn bị đặc biệt để cấp điện cho stato động cơ của máy ly tâm khí dùng trong quá trình làm giàu, có đồng thời các đặc tính sau: đầu ra tần số đa pha từ 600 Hz trở lên; độ ổn định cao, bước điều khiển (hay độ chính xác tần số) nhỏ hơn 0,2%.</w:t>
            </w:r>
          </w:p>
          <w:p>
            <w:pPr>
              <w:bidi w:val="0"/>
              <w:spacing w:before="120" w:beforeAutospacing="0" w:after="280" w:afterAutospacing="1"/>
              <w:rPr>
                <w:rtl w:val="0"/>
              </w:rPr>
            </w:pPr>
            <w:r>
              <w:rPr>
                <w:color w:val="000000"/>
                <w:rtl w:val="0"/>
              </w:rPr>
              <w:t>- Lưu ý:</w:t>
            </w:r>
          </w:p>
          <w:p>
            <w:pPr>
              <w:bidi w:val="0"/>
              <w:spacing w:before="120" w:beforeAutospacing="0" w:after="0" w:afterAutospacing="0"/>
              <w:rPr>
                <w:rtl w:val="0"/>
              </w:rPr>
            </w:pPr>
            <w:r>
              <w:rPr>
                <w:color w:val="000000"/>
                <w:rtl w:val="0"/>
              </w:rPr>
              <w:t>Không kiểm soát các bộ biến đổi tần số hoặc máy phát điện nếu chúng có các giới hạn về phần cứng, phần mềm hoặc công nghệ làm hạn chế hiệu năng xuống dưới mức quy định nêu trên.</w:t>
            </w:r>
          </w:p>
        </w:tc>
        <w:tc>
          <w:tcPr>
            <w:tcW w:w="85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3A225</w:t>
            </w:r>
          </w:p>
        </w:tc>
      </w:tr>
      <w:tr>
        <w:tblPrEx>
          <w:tblW w:w="5000" w:type="pct"/>
          <w:jc w:val="left"/>
          <w:tblCellMar>
            <w:top w:w="0" w:type="dxa"/>
            <w:left w:w="0" w:type="dxa"/>
            <w:bottom w:w="0" w:type="dxa"/>
            <w:right w:w="0" w:type="dxa"/>
          </w:tblCellMar>
        </w:tblPrEx>
        <w:trPr>
          <w:jc w:val="left"/>
        </w:trPr>
        <w:tc>
          <w:tcPr>
            <w:tcW w:w="388"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bookmarkStart w:id="12" w:name="muc_2_pl"/>
            <w:r>
              <w:rPr>
                <w:b/>
                <w:bCs/>
                <w:color w:val="000000"/>
                <w:rtl w:val="0"/>
              </w:rPr>
              <w:t>II</w:t>
            </w:r>
            <w:bookmarkEnd w:id="12"/>
          </w:p>
        </w:tc>
        <w:tc>
          <w:tcPr>
            <w:tcW w:w="4612" w:type="pct"/>
            <w:gridSpan w:val="4"/>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bookmarkStart w:id="13" w:name="muc_2_pl_name"/>
            <w:r>
              <w:rPr>
                <w:b/>
                <w:bCs/>
                <w:color w:val="000000"/>
                <w:rtl w:val="0"/>
              </w:rPr>
              <w:t>Hoá chất</w:t>
            </w:r>
            <w:bookmarkEnd w:id="13"/>
          </w:p>
        </w:tc>
      </w:tr>
      <w:tr>
        <w:tblPrEx>
          <w:tblW w:w="5000" w:type="pct"/>
          <w:jc w:val="left"/>
          <w:tblCellMar>
            <w:top w:w="0" w:type="dxa"/>
            <w:left w:w="0" w:type="dxa"/>
            <w:bottom w:w="0" w:type="dxa"/>
            <w:right w:w="0" w:type="dxa"/>
          </w:tblCellMar>
        </w:tblPrEx>
        <w:trPr>
          <w:jc w:val="left"/>
        </w:trPr>
        <w:tc>
          <w:tcPr>
            <w:tcW w:w="388"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4</w:t>
            </w:r>
          </w:p>
        </w:tc>
        <w:tc>
          <w:tcPr>
            <w:tcW w:w="84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36020000</w:t>
            </w:r>
          </w:p>
        </w:tc>
        <w:tc>
          <w:tcPr>
            <w:tcW w:w="111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Chất nổ mạnh hoặc các chất hoặc hỗn hợp chứa hơn 2% theo trọng lượng của chất nổ mạnh</w:t>
            </w:r>
          </w:p>
        </w:tc>
        <w:tc>
          <w:tcPr>
            <w:tcW w:w="179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280" w:afterAutospacing="1"/>
            </w:pPr>
            <w:r>
              <w:rPr>
                <w:color w:val="000000"/>
                <w:rtl w:val="0"/>
              </w:rPr>
              <w:t>- Trừ hàng an ninh quốc phòng.</w:t>
            </w:r>
          </w:p>
          <w:p>
            <w:pPr>
              <w:bidi w:val="0"/>
              <w:spacing w:before="120" w:beforeAutospacing="0" w:after="0" w:afterAutospacing="0"/>
              <w:rPr>
                <w:rtl w:val="0"/>
              </w:rPr>
            </w:pPr>
            <w:r>
              <w:rPr>
                <w:color w:val="000000"/>
                <w:rtl w:val="0"/>
              </w:rPr>
              <w:t>- Mật độ tinh thể lớn hơn 1,8 g/cm³ và có tốc độ nổ lớn hơn 8.000 m/s.</w:t>
            </w:r>
          </w:p>
        </w:tc>
        <w:tc>
          <w:tcPr>
            <w:tcW w:w="85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1C239</w:t>
            </w:r>
          </w:p>
        </w:tc>
      </w:tr>
      <w:tr>
        <w:tblPrEx>
          <w:tblW w:w="5000" w:type="pct"/>
          <w:jc w:val="left"/>
          <w:tblCellMar>
            <w:top w:w="0" w:type="dxa"/>
            <w:left w:w="0" w:type="dxa"/>
            <w:bottom w:w="0" w:type="dxa"/>
            <w:right w:w="0" w:type="dxa"/>
          </w:tblCellMar>
        </w:tblPrEx>
        <w:trPr>
          <w:jc w:val="left"/>
        </w:trPr>
        <w:tc>
          <w:tcPr>
            <w:tcW w:w="388"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5</w:t>
            </w:r>
          </w:p>
        </w:tc>
        <w:tc>
          <w:tcPr>
            <w:tcW w:w="84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36020000</w:t>
            </w:r>
          </w:p>
        </w:tc>
        <w:tc>
          <w:tcPr>
            <w:tcW w:w="111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Thuốc nổ định hình</w:t>
            </w:r>
          </w:p>
        </w:tc>
        <w:tc>
          <w:tcPr>
            <w:tcW w:w="179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280" w:afterAutospacing="1"/>
            </w:pPr>
            <w:r>
              <w:rPr>
                <w:color w:val="000000"/>
                <w:rtl w:val="0"/>
              </w:rPr>
              <w:t>'Thuốc nổ định hình' có tất cả các đặc điểm sau:</w:t>
            </w:r>
          </w:p>
          <w:p>
            <w:pPr>
              <w:bidi w:val="0"/>
              <w:spacing w:before="120" w:beforeAutospacing="0" w:after="280" w:afterAutospacing="1"/>
              <w:rPr>
                <w:rtl w:val="0"/>
              </w:rPr>
            </w:pPr>
            <w:r>
              <w:rPr>
                <w:color w:val="000000"/>
                <w:rtl w:val="0"/>
              </w:rPr>
              <w:t>(i) Lượng thuốc nổ ròng (NEQ) lớn hơn 90 g; và</w:t>
            </w:r>
          </w:p>
          <w:p>
            <w:pPr>
              <w:bidi w:val="0"/>
              <w:spacing w:before="120" w:beforeAutospacing="0" w:after="0" w:afterAutospacing="0"/>
              <w:rPr>
                <w:rtl w:val="0"/>
              </w:rPr>
            </w:pPr>
            <w:r>
              <w:rPr>
                <w:color w:val="000000"/>
                <w:rtl w:val="0"/>
              </w:rPr>
              <w:t>(ii) Đường kính vỏ ngoài từ 75 mm trở lên.</w:t>
            </w:r>
          </w:p>
        </w:tc>
        <w:tc>
          <w:tcPr>
            <w:tcW w:w="85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1A008.a</w:t>
            </w:r>
          </w:p>
        </w:tc>
      </w:tr>
      <w:tr>
        <w:tblPrEx>
          <w:tblW w:w="5000" w:type="pct"/>
          <w:jc w:val="left"/>
          <w:tblCellMar>
            <w:top w:w="0" w:type="dxa"/>
            <w:left w:w="0" w:type="dxa"/>
            <w:bottom w:w="0" w:type="dxa"/>
            <w:right w:w="0" w:type="dxa"/>
          </w:tblCellMar>
        </w:tblPrEx>
        <w:trPr>
          <w:jc w:val="left"/>
        </w:trPr>
        <w:tc>
          <w:tcPr>
            <w:tcW w:w="388"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6</w:t>
            </w:r>
          </w:p>
        </w:tc>
        <w:tc>
          <w:tcPr>
            <w:tcW w:w="84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36020000</w:t>
            </w:r>
          </w:p>
        </w:tc>
        <w:tc>
          <w:tcPr>
            <w:tcW w:w="111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Thuốc nổ định hình cắt tuyến tính</w:t>
            </w:r>
          </w:p>
        </w:tc>
        <w:tc>
          <w:tcPr>
            <w:tcW w:w="179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280" w:afterAutospacing="1"/>
            </w:pPr>
            <w:r>
              <w:rPr>
                <w:color w:val="000000"/>
                <w:rtl w:val="0"/>
              </w:rPr>
              <w:t>Thuốc nổ định hình cắt tuyến tính có tất cả các đặc điểm sau:</w:t>
            </w:r>
          </w:p>
          <w:p>
            <w:pPr>
              <w:bidi w:val="0"/>
              <w:spacing w:before="120" w:beforeAutospacing="0" w:after="280" w:afterAutospacing="1"/>
              <w:rPr>
                <w:rtl w:val="0"/>
              </w:rPr>
            </w:pPr>
            <w:r>
              <w:rPr>
                <w:color w:val="000000"/>
                <w:rtl w:val="0"/>
              </w:rPr>
              <w:t>(i) Lượng thuốc nổ trên mỗi mét (g/m) lớn hơn 40 g/m; và</w:t>
            </w:r>
          </w:p>
          <w:p>
            <w:pPr>
              <w:bidi w:val="0"/>
              <w:spacing w:before="120" w:beforeAutospacing="0" w:after="0" w:afterAutospacing="0"/>
              <w:rPr>
                <w:rtl w:val="0"/>
              </w:rPr>
            </w:pPr>
            <w:r>
              <w:rPr>
                <w:color w:val="000000"/>
                <w:rtl w:val="0"/>
              </w:rPr>
              <w:t>(ii) Chiều rộng từ 10 mm trở lên.</w:t>
            </w:r>
          </w:p>
        </w:tc>
        <w:tc>
          <w:tcPr>
            <w:tcW w:w="85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1A008.b</w:t>
            </w:r>
          </w:p>
        </w:tc>
      </w:tr>
      <w:tr>
        <w:tblPrEx>
          <w:tblW w:w="5000" w:type="pct"/>
          <w:jc w:val="left"/>
          <w:tblCellMar>
            <w:top w:w="0" w:type="dxa"/>
            <w:left w:w="0" w:type="dxa"/>
            <w:bottom w:w="0" w:type="dxa"/>
            <w:right w:w="0" w:type="dxa"/>
          </w:tblCellMar>
        </w:tblPrEx>
        <w:trPr>
          <w:jc w:val="left"/>
        </w:trPr>
        <w:tc>
          <w:tcPr>
            <w:tcW w:w="388"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7</w:t>
            </w:r>
          </w:p>
        </w:tc>
        <w:tc>
          <w:tcPr>
            <w:tcW w:w="84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280" w:afterAutospacing="1"/>
              <w:jc w:val="center"/>
            </w:pPr>
            <w:r>
              <w:rPr>
                <w:color w:val="000000"/>
                <w:rtl w:val="0"/>
              </w:rPr>
              <w:t>36031000</w:t>
            </w:r>
          </w:p>
          <w:p>
            <w:pPr>
              <w:bidi w:val="0"/>
              <w:spacing w:before="120" w:beforeAutospacing="0" w:after="0" w:afterAutospacing="0"/>
              <w:jc w:val="center"/>
              <w:rPr>
                <w:rtl w:val="0"/>
              </w:rPr>
            </w:pPr>
            <w:r>
              <w:rPr>
                <w:color w:val="000000"/>
                <w:rtl w:val="0"/>
              </w:rPr>
              <w:t>36032000</w:t>
            </w:r>
          </w:p>
        </w:tc>
        <w:tc>
          <w:tcPr>
            <w:tcW w:w="111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Dây nổ, dây cháy chậm</w:t>
            </w:r>
          </w:p>
        </w:tc>
        <w:tc>
          <w:tcPr>
            <w:tcW w:w="179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Dây nổ có lõi thuốc nổ trên mỗi mét lớn hơn 64 g/m</w:t>
            </w:r>
          </w:p>
        </w:tc>
        <w:tc>
          <w:tcPr>
            <w:tcW w:w="85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1A008.c</w:t>
            </w:r>
          </w:p>
        </w:tc>
      </w:tr>
      <w:tr>
        <w:tblPrEx>
          <w:tblW w:w="5000" w:type="pct"/>
          <w:jc w:val="left"/>
          <w:tblCellMar>
            <w:top w:w="0" w:type="dxa"/>
            <w:left w:w="0" w:type="dxa"/>
            <w:bottom w:w="0" w:type="dxa"/>
            <w:right w:w="0" w:type="dxa"/>
          </w:tblCellMar>
        </w:tblPrEx>
        <w:trPr>
          <w:jc w:val="left"/>
        </w:trPr>
        <w:tc>
          <w:tcPr>
            <w:tcW w:w="388"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8</w:t>
            </w:r>
          </w:p>
        </w:tc>
        <w:tc>
          <w:tcPr>
            <w:tcW w:w="84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36036000</w:t>
            </w:r>
          </w:p>
        </w:tc>
        <w:tc>
          <w:tcPr>
            <w:tcW w:w="111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Kíp nổ điện</w:t>
            </w:r>
          </w:p>
        </w:tc>
        <w:tc>
          <w:tcPr>
            <w:tcW w:w="179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280" w:afterAutospacing="1"/>
            </w:pPr>
            <w:r>
              <w:rPr>
                <w:color w:val="000000"/>
                <w:rtl w:val="0"/>
              </w:rPr>
              <w:t>- Bao gồm các loại:</w:t>
            </w:r>
          </w:p>
          <w:p>
            <w:pPr>
              <w:bidi w:val="0"/>
              <w:spacing w:before="120" w:beforeAutospacing="0" w:after="280" w:afterAutospacing="1"/>
              <w:rPr>
                <w:rtl w:val="0"/>
              </w:rPr>
            </w:pPr>
            <w:r>
              <w:rPr>
                <w:color w:val="000000"/>
                <w:rtl w:val="0"/>
              </w:rPr>
              <w:t>(i) Kíp nổ cầu nổ (EB);</w:t>
            </w:r>
          </w:p>
          <w:p>
            <w:pPr>
              <w:bidi w:val="0"/>
              <w:spacing w:before="120" w:beforeAutospacing="0" w:after="280" w:afterAutospacing="1"/>
              <w:rPr>
                <w:rtl w:val="0"/>
              </w:rPr>
            </w:pPr>
            <w:r>
              <w:rPr>
                <w:color w:val="000000"/>
                <w:rtl w:val="0"/>
              </w:rPr>
              <w:t>(ii) Kíp nổ dây cầu nổ (EBW);</w:t>
            </w:r>
          </w:p>
          <w:p>
            <w:pPr>
              <w:bidi w:val="0"/>
              <w:spacing w:before="120" w:beforeAutospacing="0" w:after="280" w:afterAutospacing="1"/>
              <w:rPr>
                <w:rtl w:val="0"/>
              </w:rPr>
            </w:pPr>
            <w:r>
              <w:rPr>
                <w:color w:val="000000"/>
                <w:rtl w:val="0"/>
                <w:lang w:val="fr-FR" w:eastAsia="fr-FR"/>
              </w:rPr>
              <w:t>(iii) Kíp nổ kiểu va đập (slapper);</w:t>
            </w:r>
          </w:p>
          <w:p>
            <w:pPr>
              <w:bidi w:val="0"/>
              <w:spacing w:before="120" w:beforeAutospacing="0" w:after="280" w:afterAutospacing="1"/>
              <w:rPr>
                <w:rtl w:val="0"/>
              </w:rPr>
            </w:pPr>
            <w:r>
              <w:rPr>
                <w:color w:val="000000"/>
                <w:rtl w:val="0"/>
                <w:lang w:val="fr-FR" w:eastAsia="fr-FR"/>
              </w:rPr>
              <w:t>(iv) Kíp nổ lá nổ (EFI).</w:t>
            </w:r>
          </w:p>
          <w:p>
            <w:pPr>
              <w:bidi w:val="0"/>
              <w:spacing w:before="120" w:beforeAutospacing="0" w:after="280" w:afterAutospacing="1"/>
              <w:rPr>
                <w:rtl w:val="0"/>
              </w:rPr>
            </w:pPr>
            <w:r>
              <w:rPr>
                <w:color w:val="000000"/>
                <w:rtl w:val="0"/>
                <w:lang w:val="fr-FR" w:eastAsia="fr-FR"/>
              </w:rPr>
              <w:t>Lưu ý:</w:t>
            </w:r>
          </w:p>
          <w:p>
            <w:pPr>
              <w:bidi w:val="0"/>
              <w:spacing w:before="120" w:beforeAutospacing="0" w:after="280" w:afterAutospacing="1"/>
              <w:rPr>
                <w:rtl w:val="0"/>
              </w:rPr>
            </w:pPr>
            <w:r>
              <w:rPr>
                <w:color w:val="000000"/>
                <w:rtl w:val="0"/>
                <w:lang w:val="fr-FR" w:eastAsia="fr-FR"/>
              </w:rPr>
              <w:t>- Các loại kíp nổ thuộc diện kiểm soát đều sử dụng một dây dẫn điện nhỏ như cầu dẫn, dây cầu hoặc lá dẫn, có khả năng hóa hơi theo cơ chế nổ khi một xung điện nhanh, cường độ dòng cao được truyền qua.</w:t>
            </w:r>
          </w:p>
          <w:p>
            <w:pPr>
              <w:bidi w:val="0"/>
              <w:spacing w:before="120" w:beforeAutospacing="0" w:after="280" w:afterAutospacing="1"/>
              <w:rPr>
                <w:rtl w:val="0"/>
              </w:rPr>
            </w:pPr>
            <w:r>
              <w:rPr>
                <w:color w:val="000000"/>
                <w:rtl w:val="0"/>
                <w:lang w:val="fr-FR" w:eastAsia="fr-FR"/>
              </w:rPr>
              <w:t>- Ở các loại không phải kíp nổ kiểu slapper, dây dẫn bị nổ sẽ khởi phát quá trình kích nổ hóa học trong vật liệu nổ mạnh tiếp xúc trực tiếp với nó, chẳng hạn như PETN (pentaerythritol tetranitrate).</w:t>
            </w:r>
          </w:p>
          <w:p>
            <w:pPr>
              <w:bidi w:val="0"/>
              <w:spacing w:before="120" w:beforeAutospacing="0" w:after="280" w:afterAutospacing="1"/>
              <w:rPr>
                <w:rtl w:val="0"/>
              </w:rPr>
            </w:pPr>
            <w:r>
              <w:rPr>
                <w:color w:val="000000"/>
                <w:rtl w:val="0"/>
                <w:lang w:val="fr-FR" w:eastAsia="fr-FR"/>
              </w:rPr>
              <w:t>- Đối với kíp nổ kiểu slapper, sự hóa hơi mang tính nổ của dây dẫn điện sẽ đẩy một tấm bay/tấm va đập vượt qua một khoảng hở; khi tấm va đập này tác động vào vật liệu nổ, nó sẽ khởi phát quá trình kích nổ hóa học. Trong một số thiết kế, tấm va đập được dẫn động bằng lực từ.</w:t>
            </w:r>
          </w:p>
          <w:p>
            <w:pPr>
              <w:bidi w:val="0"/>
              <w:spacing w:before="120" w:beforeAutospacing="0" w:after="0" w:afterAutospacing="0"/>
              <w:rPr>
                <w:rtl w:val="0"/>
              </w:rPr>
            </w:pPr>
            <w:r>
              <w:rPr>
                <w:color w:val="000000"/>
                <w:rtl w:val="0"/>
                <w:lang w:val="fr-FR" w:eastAsia="fr-FR"/>
              </w:rPr>
              <w:t>- Thuật ngữ kíp nổ lá nổ có thể được dùng để chỉ cả kíp nổ cầu nổ hoặc kíp nổ kiểu slapper.</w:t>
            </w:r>
          </w:p>
        </w:tc>
        <w:tc>
          <w:tcPr>
            <w:tcW w:w="85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1A007.b</w:t>
            </w:r>
          </w:p>
        </w:tc>
      </w:tr>
      <w:tr>
        <w:tblPrEx>
          <w:tblW w:w="5000" w:type="pct"/>
          <w:jc w:val="left"/>
          <w:tblCellMar>
            <w:top w:w="0" w:type="dxa"/>
            <w:left w:w="0" w:type="dxa"/>
            <w:bottom w:w="0" w:type="dxa"/>
            <w:right w:w="0" w:type="dxa"/>
          </w:tblCellMar>
        </w:tblPrEx>
        <w:trPr>
          <w:jc w:val="left"/>
        </w:trPr>
        <w:tc>
          <w:tcPr>
            <w:tcW w:w="388"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9</w:t>
            </w:r>
          </w:p>
        </w:tc>
        <w:tc>
          <w:tcPr>
            <w:tcW w:w="84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29214400</w:t>
            </w:r>
          </w:p>
        </w:tc>
        <w:tc>
          <w:tcPr>
            <w:tcW w:w="111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2-Nitrodiphenylamine</w:t>
            </w:r>
          </w:p>
        </w:tc>
        <w:tc>
          <w:tcPr>
            <w:tcW w:w="179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CAS 119-75-5</w:t>
            </w:r>
          </w:p>
        </w:tc>
        <w:tc>
          <w:tcPr>
            <w:tcW w:w="85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1C111.c</w:t>
            </w:r>
          </w:p>
        </w:tc>
      </w:tr>
      <w:tr>
        <w:tblPrEx>
          <w:tblW w:w="5000" w:type="pct"/>
          <w:jc w:val="left"/>
          <w:tblCellMar>
            <w:top w:w="0" w:type="dxa"/>
            <w:left w:w="0" w:type="dxa"/>
            <w:bottom w:w="0" w:type="dxa"/>
            <w:right w:w="0" w:type="dxa"/>
          </w:tblCellMar>
        </w:tblPrEx>
        <w:trPr>
          <w:jc w:val="left"/>
        </w:trPr>
        <w:tc>
          <w:tcPr>
            <w:tcW w:w="388"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10</w:t>
            </w:r>
          </w:p>
        </w:tc>
        <w:tc>
          <w:tcPr>
            <w:tcW w:w="84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29209000</w:t>
            </w:r>
          </w:p>
        </w:tc>
        <w:tc>
          <w:tcPr>
            <w:tcW w:w="111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Triethylene glycol dinitrate</w:t>
            </w:r>
          </w:p>
        </w:tc>
        <w:tc>
          <w:tcPr>
            <w:tcW w:w="179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CAS 111-22-8</w:t>
            </w:r>
          </w:p>
        </w:tc>
        <w:tc>
          <w:tcPr>
            <w:tcW w:w="85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1C111.c</w:t>
            </w:r>
          </w:p>
        </w:tc>
      </w:tr>
      <w:tr>
        <w:tblPrEx>
          <w:tblW w:w="5000" w:type="pct"/>
          <w:jc w:val="left"/>
          <w:tblCellMar>
            <w:top w:w="0" w:type="dxa"/>
            <w:left w:w="0" w:type="dxa"/>
            <w:bottom w:w="0" w:type="dxa"/>
            <w:right w:w="0" w:type="dxa"/>
          </w:tblCellMar>
        </w:tblPrEx>
        <w:trPr>
          <w:jc w:val="left"/>
        </w:trPr>
        <w:tc>
          <w:tcPr>
            <w:tcW w:w="388"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11</w:t>
            </w:r>
          </w:p>
        </w:tc>
        <w:tc>
          <w:tcPr>
            <w:tcW w:w="84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29209000</w:t>
            </w:r>
          </w:p>
        </w:tc>
        <w:tc>
          <w:tcPr>
            <w:tcW w:w="111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Trimethylolethane trinitrate</w:t>
            </w:r>
          </w:p>
        </w:tc>
        <w:tc>
          <w:tcPr>
            <w:tcW w:w="179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CAS 3032-55-1</w:t>
            </w:r>
          </w:p>
        </w:tc>
        <w:tc>
          <w:tcPr>
            <w:tcW w:w="85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1C111.c</w:t>
            </w:r>
          </w:p>
        </w:tc>
      </w:tr>
      <w:tr>
        <w:tblPrEx>
          <w:tblW w:w="5000" w:type="pct"/>
          <w:jc w:val="left"/>
          <w:tblCellMar>
            <w:top w:w="0" w:type="dxa"/>
            <w:left w:w="0" w:type="dxa"/>
            <w:bottom w:w="0" w:type="dxa"/>
            <w:right w:w="0" w:type="dxa"/>
          </w:tblCellMar>
        </w:tblPrEx>
        <w:trPr>
          <w:jc w:val="left"/>
        </w:trPr>
        <w:tc>
          <w:tcPr>
            <w:tcW w:w="388"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12</w:t>
            </w:r>
          </w:p>
        </w:tc>
        <w:tc>
          <w:tcPr>
            <w:tcW w:w="84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29209000</w:t>
            </w:r>
          </w:p>
        </w:tc>
        <w:tc>
          <w:tcPr>
            <w:tcW w:w="111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Diethylene glycol dinitrate</w:t>
            </w:r>
          </w:p>
        </w:tc>
        <w:tc>
          <w:tcPr>
            <w:tcW w:w="179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CAS 693-21-0</w:t>
            </w:r>
          </w:p>
        </w:tc>
        <w:tc>
          <w:tcPr>
            <w:tcW w:w="85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1C111.c</w:t>
            </w:r>
          </w:p>
        </w:tc>
      </w:tr>
      <w:tr>
        <w:tblPrEx>
          <w:tblW w:w="5000" w:type="pct"/>
          <w:jc w:val="left"/>
          <w:tblCellMar>
            <w:top w:w="0" w:type="dxa"/>
            <w:left w:w="0" w:type="dxa"/>
            <w:bottom w:w="0" w:type="dxa"/>
            <w:right w:w="0" w:type="dxa"/>
          </w:tblCellMar>
        </w:tblPrEx>
        <w:trPr>
          <w:jc w:val="left"/>
        </w:trPr>
        <w:tc>
          <w:tcPr>
            <w:tcW w:w="388"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13</w:t>
            </w:r>
          </w:p>
        </w:tc>
        <w:tc>
          <w:tcPr>
            <w:tcW w:w="84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28500000</w:t>
            </w:r>
          </w:p>
        </w:tc>
        <w:tc>
          <w:tcPr>
            <w:tcW w:w="111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Các hydride của phốt pho, asen hoặc antimon, có độ tinh khiết cao</w:t>
            </w:r>
          </w:p>
        </w:tc>
        <w:tc>
          <w:tcPr>
            <w:tcW w:w="179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280" w:afterAutospacing="1"/>
            </w:pPr>
            <w:r>
              <w:rPr>
                <w:color w:val="000000"/>
                <w:rtl w:val="0"/>
              </w:rPr>
              <w:t>Có độ tinh khiết cao hơn 99,999%, ngay cả khi được pha loãng trong khí trơ hoặc hydro.</w:t>
            </w:r>
          </w:p>
          <w:p>
            <w:pPr>
              <w:bidi w:val="0"/>
              <w:spacing w:before="120" w:beforeAutospacing="0" w:after="0" w:afterAutospacing="0"/>
              <w:rPr>
                <w:rtl w:val="0"/>
              </w:rPr>
            </w:pPr>
            <w:r>
              <w:rPr>
                <w:color w:val="000000"/>
                <w:rtl w:val="0"/>
              </w:rPr>
              <w:t>Ngoại trừ các hợp chất hydride chứa 20% mol trở lên các khí trơ hoặc hydro.</w:t>
            </w:r>
          </w:p>
        </w:tc>
        <w:tc>
          <w:tcPr>
            <w:tcW w:w="85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3C004</w:t>
            </w:r>
          </w:p>
        </w:tc>
      </w:tr>
      <w:tr>
        <w:tblPrEx>
          <w:tblW w:w="5000" w:type="pct"/>
          <w:jc w:val="left"/>
          <w:tblCellMar>
            <w:top w:w="0" w:type="dxa"/>
            <w:left w:w="0" w:type="dxa"/>
            <w:bottom w:w="0" w:type="dxa"/>
            <w:right w:w="0" w:type="dxa"/>
          </w:tblCellMar>
        </w:tblPrEx>
        <w:trPr>
          <w:jc w:val="left"/>
        </w:trPr>
        <w:tc>
          <w:tcPr>
            <w:tcW w:w="388"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14</w:t>
            </w:r>
          </w:p>
        </w:tc>
        <w:tc>
          <w:tcPr>
            <w:tcW w:w="84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29319090</w:t>
            </w:r>
          </w:p>
        </w:tc>
        <w:tc>
          <w:tcPr>
            <w:tcW w:w="111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Hợp chất hữu cơ-kim loại của nhôm, gallium hoặc indium, có độ tinh khiết cao</w:t>
            </w:r>
          </w:p>
        </w:tc>
        <w:tc>
          <w:tcPr>
            <w:tcW w:w="179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Hợp chất hữu cơ kim loại của nhôm, gallium hoặc indium, có độ tinh khiết (theo cơ sở kim loại) cao hơn 99,999%.</w:t>
            </w:r>
          </w:p>
        </w:tc>
        <w:tc>
          <w:tcPr>
            <w:tcW w:w="85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3C003.a</w:t>
            </w:r>
          </w:p>
        </w:tc>
      </w:tr>
      <w:tr>
        <w:tblPrEx>
          <w:tblW w:w="5000" w:type="pct"/>
          <w:jc w:val="left"/>
          <w:tblCellMar>
            <w:top w:w="0" w:type="dxa"/>
            <w:left w:w="0" w:type="dxa"/>
            <w:bottom w:w="0" w:type="dxa"/>
            <w:right w:w="0" w:type="dxa"/>
          </w:tblCellMar>
        </w:tblPrEx>
        <w:trPr>
          <w:jc w:val="left"/>
        </w:trPr>
        <w:tc>
          <w:tcPr>
            <w:tcW w:w="388"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15</w:t>
            </w:r>
          </w:p>
        </w:tc>
        <w:tc>
          <w:tcPr>
            <w:tcW w:w="84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280" w:afterAutospacing="1"/>
              <w:jc w:val="center"/>
            </w:pPr>
            <w:r>
              <w:rPr>
                <w:color w:val="000000"/>
                <w:rtl w:val="0"/>
              </w:rPr>
              <w:t>29314400</w:t>
            </w:r>
          </w:p>
          <w:p>
            <w:pPr>
              <w:bidi w:val="0"/>
              <w:spacing w:before="120" w:beforeAutospacing="0" w:after="280" w:afterAutospacing="1"/>
              <w:jc w:val="center"/>
              <w:rPr>
                <w:rtl w:val="0"/>
              </w:rPr>
            </w:pPr>
            <w:r>
              <w:rPr>
                <w:color w:val="000000"/>
                <w:rtl w:val="0"/>
              </w:rPr>
              <w:t>29314800</w:t>
            </w:r>
          </w:p>
          <w:p>
            <w:pPr>
              <w:bidi w:val="0"/>
              <w:spacing w:before="120" w:beforeAutospacing="0" w:after="280" w:afterAutospacing="1"/>
              <w:jc w:val="center"/>
              <w:rPr>
                <w:rtl w:val="0"/>
              </w:rPr>
            </w:pPr>
            <w:r>
              <w:rPr>
                <w:color w:val="000000"/>
                <w:rtl w:val="0"/>
              </w:rPr>
              <w:t>293149</w:t>
            </w:r>
          </w:p>
          <w:p>
            <w:pPr>
              <w:bidi w:val="0"/>
              <w:spacing w:before="120" w:beforeAutospacing="0" w:after="280" w:afterAutospacing="1"/>
              <w:jc w:val="center"/>
              <w:rPr>
                <w:rtl w:val="0"/>
              </w:rPr>
            </w:pPr>
            <w:r>
              <w:rPr>
                <w:color w:val="000000"/>
                <w:rtl w:val="0"/>
              </w:rPr>
              <w:t>29315200</w:t>
            </w:r>
          </w:p>
          <w:p>
            <w:pPr>
              <w:bidi w:val="0"/>
              <w:spacing w:before="120" w:beforeAutospacing="0" w:after="280" w:afterAutospacing="1"/>
              <w:jc w:val="center"/>
              <w:rPr>
                <w:rtl w:val="0"/>
              </w:rPr>
            </w:pPr>
            <w:r>
              <w:rPr>
                <w:color w:val="000000"/>
                <w:rtl w:val="0"/>
              </w:rPr>
              <w:t>29315300</w:t>
            </w:r>
          </w:p>
          <w:p>
            <w:pPr>
              <w:bidi w:val="0"/>
              <w:spacing w:before="120" w:beforeAutospacing="0" w:after="280" w:afterAutospacing="1"/>
              <w:jc w:val="center"/>
              <w:rPr>
                <w:rtl w:val="0"/>
              </w:rPr>
            </w:pPr>
            <w:r>
              <w:rPr>
                <w:color w:val="000000"/>
                <w:rtl w:val="0"/>
              </w:rPr>
              <w:t>29315400</w:t>
            </w:r>
          </w:p>
          <w:p>
            <w:pPr>
              <w:bidi w:val="0"/>
              <w:spacing w:before="120" w:beforeAutospacing="0" w:after="280" w:afterAutospacing="1"/>
              <w:jc w:val="center"/>
              <w:rPr>
                <w:rtl w:val="0"/>
              </w:rPr>
            </w:pPr>
            <w:r>
              <w:rPr>
                <w:color w:val="000000"/>
                <w:rtl w:val="0"/>
              </w:rPr>
              <w:t>293159</w:t>
            </w:r>
          </w:p>
          <w:p>
            <w:pPr>
              <w:bidi w:val="0"/>
              <w:spacing w:before="120" w:beforeAutospacing="0" w:after="0" w:afterAutospacing="0"/>
              <w:jc w:val="center"/>
              <w:rPr>
                <w:rtl w:val="0"/>
              </w:rPr>
            </w:pPr>
            <w:r>
              <w:rPr>
                <w:color w:val="000000"/>
                <w:rtl w:val="0"/>
              </w:rPr>
              <w:t>29319049</w:t>
            </w:r>
          </w:p>
        </w:tc>
        <w:tc>
          <w:tcPr>
            <w:tcW w:w="111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Hợp chất hữu cơ-asen, hợp chất hữu cơ-antimon và hợp chất hữu cơ-phốt pho có độ tinh khiết cao</w:t>
            </w:r>
          </w:p>
        </w:tc>
        <w:tc>
          <w:tcPr>
            <w:tcW w:w="179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Các hợp chất hữu cơ chứa asen, antimon và phốt pho, có độ tinh khiết (dựa trên nguyên tố vô cơ) cao hơn 99,999%.</w:t>
            </w:r>
          </w:p>
        </w:tc>
        <w:tc>
          <w:tcPr>
            <w:tcW w:w="85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3C003.b</w:t>
            </w:r>
          </w:p>
        </w:tc>
      </w:tr>
      <w:tr>
        <w:tblPrEx>
          <w:tblW w:w="5000" w:type="pct"/>
          <w:jc w:val="left"/>
          <w:tblCellMar>
            <w:top w:w="0" w:type="dxa"/>
            <w:left w:w="0" w:type="dxa"/>
            <w:bottom w:w="0" w:type="dxa"/>
            <w:right w:w="0" w:type="dxa"/>
          </w:tblCellMar>
        </w:tblPrEx>
        <w:trPr>
          <w:jc w:val="left"/>
        </w:trPr>
        <w:tc>
          <w:tcPr>
            <w:tcW w:w="388"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16</w:t>
            </w:r>
          </w:p>
        </w:tc>
        <w:tc>
          <w:tcPr>
            <w:tcW w:w="84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39269099</w:t>
            </w:r>
          </w:p>
        </w:tc>
        <w:tc>
          <w:tcPr>
            <w:tcW w:w="111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Bọt tổng hợp (syntactic foam) được thiết kế cho việc sử dụng dưới nước độ sâu không quá 1.000 m và có mật độ dưới 561 kg/m</w:t>
            </w:r>
            <w:r>
              <w:rPr>
                <w:color w:val="000000"/>
                <w:vertAlign w:val="superscript"/>
                <w:rtl w:val="0"/>
              </w:rPr>
              <w:t>3</w:t>
            </w:r>
          </w:p>
        </w:tc>
        <w:tc>
          <w:tcPr>
            <w:tcW w:w="179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280" w:afterAutospacing="1"/>
            </w:pPr>
            <w:r>
              <w:rPr>
                <w:color w:val="000000"/>
                <w:rtl w:val="0"/>
              </w:rPr>
              <w:t>Bọt tổng hợp bao gồm các hạt rỗng làm từ nhựa hoặc thủy tinh được nhúng trong một vật liệu nền bằng nhựa.</w:t>
            </w:r>
          </w:p>
          <w:p>
            <w:pPr>
              <w:bidi w:val="0"/>
              <w:spacing w:before="120" w:beforeAutospacing="0" w:after="280" w:afterAutospacing="1"/>
              <w:rPr>
                <w:rtl w:val="0"/>
              </w:rPr>
            </w:pPr>
            <w:r>
              <w:rPr>
                <w:color w:val="000000"/>
                <w:rtl w:val="0"/>
              </w:rPr>
              <w:t>(i) Được thiết kế cho việc sử dụng dưới nước độ sâu không quá 1.000 m; và</w:t>
            </w:r>
          </w:p>
          <w:p>
            <w:pPr>
              <w:bidi w:val="0"/>
              <w:spacing w:before="120" w:beforeAutospacing="0" w:after="0" w:afterAutospacing="0"/>
              <w:rPr>
                <w:rtl w:val="0"/>
              </w:rPr>
            </w:pPr>
            <w:r>
              <w:rPr>
                <w:color w:val="000000"/>
                <w:rtl w:val="0"/>
              </w:rPr>
              <w:t>(ii) Mật độ dưới 561 kg/m³.</w:t>
            </w:r>
          </w:p>
        </w:tc>
        <w:tc>
          <w:tcPr>
            <w:tcW w:w="85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8C001</w:t>
            </w:r>
          </w:p>
        </w:tc>
      </w:tr>
      <w:tr>
        <w:tblPrEx>
          <w:tblW w:w="5000" w:type="pct"/>
          <w:jc w:val="left"/>
          <w:tblCellMar>
            <w:top w:w="0" w:type="dxa"/>
            <w:left w:w="0" w:type="dxa"/>
            <w:bottom w:w="0" w:type="dxa"/>
            <w:right w:w="0" w:type="dxa"/>
          </w:tblCellMar>
        </w:tblPrEx>
        <w:trPr>
          <w:jc w:val="left"/>
        </w:trPr>
        <w:tc>
          <w:tcPr>
            <w:tcW w:w="388"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bookmarkStart w:id="14" w:name="muc_3_pl"/>
            <w:r>
              <w:rPr>
                <w:b/>
                <w:bCs/>
                <w:color w:val="000000"/>
                <w:rtl w:val="0"/>
              </w:rPr>
              <w:t>III</w:t>
            </w:r>
            <w:bookmarkEnd w:id="14"/>
          </w:p>
        </w:tc>
        <w:tc>
          <w:tcPr>
            <w:tcW w:w="4612" w:type="pct"/>
            <w:gridSpan w:val="4"/>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bookmarkStart w:id="15" w:name="muc_3_pl_name"/>
            <w:r>
              <w:rPr>
                <w:b/>
                <w:bCs/>
                <w:color w:val="000000"/>
                <w:rtl w:val="0"/>
              </w:rPr>
              <w:t>Kim loại, hợp kim</w:t>
            </w:r>
            <w:bookmarkEnd w:id="15"/>
          </w:p>
        </w:tc>
      </w:tr>
      <w:tr>
        <w:tblPrEx>
          <w:tblW w:w="5000" w:type="pct"/>
          <w:jc w:val="left"/>
          <w:tblCellMar>
            <w:top w:w="0" w:type="dxa"/>
            <w:left w:w="0" w:type="dxa"/>
            <w:bottom w:w="0" w:type="dxa"/>
            <w:right w:w="0" w:type="dxa"/>
          </w:tblCellMar>
        </w:tblPrEx>
        <w:trPr>
          <w:jc w:val="left"/>
        </w:trPr>
        <w:tc>
          <w:tcPr>
            <w:tcW w:w="388"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17</w:t>
            </w:r>
          </w:p>
        </w:tc>
        <w:tc>
          <w:tcPr>
            <w:tcW w:w="84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280" w:afterAutospacing="1"/>
              <w:jc w:val="center"/>
            </w:pPr>
            <w:r>
              <w:rPr>
                <w:color w:val="000000"/>
                <w:rtl w:val="0"/>
              </w:rPr>
              <w:t>81041900</w:t>
            </w:r>
          </w:p>
          <w:p>
            <w:pPr>
              <w:bidi w:val="0"/>
              <w:spacing w:before="120" w:beforeAutospacing="0" w:after="0" w:afterAutospacing="0"/>
              <w:jc w:val="center"/>
              <w:rPr>
                <w:rtl w:val="0"/>
              </w:rPr>
            </w:pPr>
            <w:r>
              <w:rPr>
                <w:color w:val="000000"/>
                <w:rtl w:val="0"/>
              </w:rPr>
              <w:t>81049000</w:t>
            </w:r>
          </w:p>
        </w:tc>
        <w:tc>
          <w:tcPr>
            <w:tcW w:w="111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Hợp kim magie có độ bền cao</w:t>
            </w:r>
          </w:p>
        </w:tc>
        <w:tc>
          <w:tcPr>
            <w:tcW w:w="179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280" w:afterAutospacing="1"/>
            </w:pPr>
            <w:r>
              <w:rPr>
                <w:color w:val="000000"/>
                <w:rtl w:val="0"/>
              </w:rPr>
              <w:t>- Có cả hai đặc điểm sau:</w:t>
            </w:r>
          </w:p>
          <w:p>
            <w:pPr>
              <w:bidi w:val="0"/>
              <w:spacing w:before="120" w:beforeAutospacing="0" w:after="280" w:afterAutospacing="1"/>
              <w:rPr>
                <w:rtl w:val="0"/>
              </w:rPr>
            </w:pPr>
            <w:r>
              <w:rPr>
                <w:color w:val="000000"/>
                <w:rtl w:val="0"/>
              </w:rPr>
              <w:t>(i) Độ bền kéo từ 345 MPa trở lên; và</w:t>
            </w:r>
          </w:p>
          <w:p>
            <w:pPr>
              <w:bidi w:val="0"/>
              <w:spacing w:before="120" w:beforeAutospacing="0" w:after="280" w:afterAutospacing="1"/>
              <w:rPr>
                <w:rtl w:val="0"/>
              </w:rPr>
            </w:pPr>
            <w:r>
              <w:rPr>
                <w:color w:val="000000"/>
                <w:rtl w:val="0"/>
              </w:rPr>
              <w:t>(ii) Tốc độ ăn mòn dưới 1 mm/năm trong dung dịch nước muối natri clorua 3%, được đo theo tiêu chuẩn ASTM G-31 hoặc các tiêu chuẩn quốc gia tương đương.</w:t>
            </w:r>
          </w:p>
          <w:p>
            <w:pPr>
              <w:bidi w:val="0"/>
              <w:spacing w:before="120" w:beforeAutospacing="0" w:after="280" w:afterAutospacing="1"/>
              <w:rPr>
                <w:rtl w:val="0"/>
              </w:rPr>
            </w:pPr>
            <w:r>
              <w:rPr>
                <w:color w:val="000000"/>
                <w:rtl w:val="0"/>
              </w:rPr>
              <w:t>- Không phải loại dùng cho mạ phủ chất nền.</w:t>
            </w:r>
          </w:p>
          <w:p>
            <w:pPr>
              <w:bidi w:val="0"/>
              <w:spacing w:before="120" w:beforeAutospacing="0" w:after="280" w:afterAutospacing="1"/>
              <w:rPr>
                <w:rtl w:val="0"/>
              </w:rPr>
            </w:pPr>
            <w:r>
              <w:rPr>
                <w:color w:val="000000"/>
                <w:rtl w:val="0"/>
              </w:rPr>
              <w:t>- Kim loại magie chiếm tỷ lệ phần trăm theo khối lượng lớn hơn so với từng nguyên tố bất kỳ khác có trong hợp kim.</w:t>
            </w:r>
          </w:p>
          <w:p>
            <w:pPr>
              <w:bidi w:val="0"/>
              <w:spacing w:before="120" w:beforeAutospacing="0" w:after="0" w:afterAutospacing="0"/>
              <w:rPr>
                <w:rtl w:val="0"/>
              </w:rPr>
            </w:pPr>
            <w:r>
              <w:rPr>
                <w:color w:val="000000"/>
                <w:rtl w:val="0"/>
              </w:rPr>
              <w:t>- Được chế tạo từ bột hợp kim kim loại hoặc vật liệu dạng hạt, từ hệ thống thành phần: Mg-Al-X hoặc Mg-X-Al; trong đó X là một hoặc nhiều phụ tùng hợp kim.</w:t>
            </w:r>
          </w:p>
        </w:tc>
        <w:tc>
          <w:tcPr>
            <w:tcW w:w="85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1C002.b</w:t>
            </w:r>
          </w:p>
        </w:tc>
      </w:tr>
      <w:tr>
        <w:tblPrEx>
          <w:tblW w:w="5000" w:type="pct"/>
          <w:jc w:val="left"/>
          <w:tblCellMar>
            <w:top w:w="0" w:type="dxa"/>
            <w:left w:w="0" w:type="dxa"/>
            <w:bottom w:w="0" w:type="dxa"/>
            <w:right w:w="0" w:type="dxa"/>
          </w:tblCellMar>
        </w:tblPrEx>
        <w:trPr>
          <w:jc w:val="left"/>
        </w:trPr>
        <w:tc>
          <w:tcPr>
            <w:tcW w:w="388"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18</w:t>
            </w:r>
          </w:p>
        </w:tc>
        <w:tc>
          <w:tcPr>
            <w:tcW w:w="84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280" w:afterAutospacing="1"/>
              <w:jc w:val="center"/>
            </w:pPr>
            <w:r>
              <w:rPr>
                <w:color w:val="000000"/>
                <w:rtl w:val="0"/>
              </w:rPr>
              <w:t>75022000</w:t>
            </w:r>
          </w:p>
          <w:p>
            <w:pPr>
              <w:bidi w:val="0"/>
              <w:spacing w:before="120" w:beforeAutospacing="0" w:after="280" w:afterAutospacing="1"/>
              <w:jc w:val="center"/>
              <w:rPr>
                <w:rtl w:val="0"/>
              </w:rPr>
            </w:pPr>
            <w:r>
              <w:rPr>
                <w:color w:val="000000"/>
                <w:rtl w:val="0"/>
              </w:rPr>
              <w:t>75051200</w:t>
            </w:r>
          </w:p>
          <w:p>
            <w:pPr>
              <w:bidi w:val="0"/>
              <w:spacing w:before="120" w:beforeAutospacing="0" w:after="280" w:afterAutospacing="1"/>
              <w:jc w:val="center"/>
              <w:rPr>
                <w:rtl w:val="0"/>
              </w:rPr>
            </w:pPr>
            <w:r>
              <w:rPr>
                <w:color w:val="000000"/>
                <w:rtl w:val="0"/>
              </w:rPr>
              <w:t>75052200</w:t>
            </w:r>
          </w:p>
          <w:p>
            <w:pPr>
              <w:bidi w:val="0"/>
              <w:spacing w:before="120" w:beforeAutospacing="0" w:after="280" w:afterAutospacing="1"/>
              <w:jc w:val="center"/>
              <w:rPr>
                <w:rtl w:val="0"/>
              </w:rPr>
            </w:pPr>
            <w:r>
              <w:rPr>
                <w:color w:val="000000"/>
                <w:rtl w:val="0"/>
              </w:rPr>
              <w:t>75062000</w:t>
            </w:r>
          </w:p>
          <w:p>
            <w:pPr>
              <w:bidi w:val="0"/>
              <w:spacing w:before="120" w:beforeAutospacing="0" w:after="280" w:afterAutospacing="1"/>
              <w:jc w:val="center"/>
              <w:rPr>
                <w:rtl w:val="0"/>
              </w:rPr>
            </w:pPr>
            <w:r>
              <w:rPr>
                <w:color w:val="000000"/>
                <w:rtl w:val="0"/>
              </w:rPr>
              <w:t>75071200</w:t>
            </w:r>
          </w:p>
          <w:p>
            <w:pPr>
              <w:bidi w:val="0"/>
              <w:spacing w:before="120" w:beforeAutospacing="0" w:after="0" w:afterAutospacing="0"/>
              <w:jc w:val="center"/>
              <w:rPr>
                <w:rtl w:val="0"/>
              </w:rPr>
            </w:pPr>
            <w:r>
              <w:rPr>
                <w:color w:val="000000"/>
                <w:rtl w:val="0"/>
              </w:rPr>
              <w:t>7508</w:t>
            </w:r>
          </w:p>
        </w:tc>
        <w:tc>
          <w:tcPr>
            <w:tcW w:w="111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Hợp kim niken có độ bền cao</w:t>
            </w:r>
          </w:p>
        </w:tc>
        <w:tc>
          <w:tcPr>
            <w:tcW w:w="179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280" w:afterAutospacing="1"/>
            </w:pPr>
            <w:r>
              <w:rPr>
                <w:color w:val="000000"/>
                <w:rtl w:val="0"/>
              </w:rPr>
              <w:t>- Có bất kỳ đặc tính nào sau đây:</w:t>
            </w:r>
          </w:p>
          <w:p>
            <w:pPr>
              <w:bidi w:val="0"/>
              <w:spacing w:before="120" w:beforeAutospacing="0" w:after="280" w:afterAutospacing="1"/>
              <w:rPr>
                <w:rtl w:val="0"/>
              </w:rPr>
            </w:pPr>
            <w:r>
              <w:rPr>
                <w:color w:val="000000"/>
                <w:rtl w:val="0"/>
              </w:rPr>
              <w:t>(i) Tuổi thọ đứt do ứng suất (stress-rupture life) là 10.000 giờ hoặc lâu hơn ở nhiệt độ 923 K (650°C) với ứng suất 676 MPa; hoặc</w:t>
            </w:r>
          </w:p>
          <w:p>
            <w:pPr>
              <w:bidi w:val="0"/>
              <w:spacing w:before="120" w:beforeAutospacing="0" w:after="280" w:afterAutospacing="1"/>
              <w:rPr>
                <w:rtl w:val="0"/>
              </w:rPr>
            </w:pPr>
            <w:r>
              <w:rPr>
                <w:color w:val="000000"/>
                <w:rtl w:val="0"/>
              </w:rPr>
              <w:t>(ii) Tuổi thọ độ bền mỏi chu kỳ thấp (low cycle fatigue life) là 10.000 chu kỳ hoặc nhiều hơn ở nhiệt độ 823 K (550°C) với ứng suất tối đa 1.095 MPa;</w:t>
            </w:r>
          </w:p>
          <w:p>
            <w:pPr>
              <w:bidi w:val="0"/>
              <w:spacing w:before="120" w:beforeAutospacing="0" w:after="280" w:afterAutospacing="1"/>
              <w:rPr>
                <w:rtl w:val="0"/>
              </w:rPr>
            </w:pPr>
            <w:r>
              <w:rPr>
                <w:color w:val="000000"/>
                <w:rtl w:val="0"/>
              </w:rPr>
              <w:t>- Trong đó: “Tuổi thọ đứt do ứng suất” đo theo tiêu chuẩn ASTM E-139 hoặc các tiêu chuẩn quốc gia tương đương; “Tuổi thọ độ bền mỏi chu kỳ thấp” được đo theo tiêu chuẩn ASTM E-606 hoặc các tiêu chuẩn quốc gia tương đương.</w:t>
            </w:r>
          </w:p>
          <w:p>
            <w:pPr>
              <w:bidi w:val="0"/>
              <w:spacing w:before="120" w:beforeAutospacing="0" w:after="280" w:afterAutospacing="1"/>
              <w:rPr>
                <w:rtl w:val="0"/>
              </w:rPr>
            </w:pPr>
            <w:r>
              <w:rPr>
                <w:color w:val="000000"/>
                <w:rtl w:val="0"/>
              </w:rPr>
              <w:t>- Không phải loại dùng cho mạ phủ chất nền.</w:t>
            </w:r>
          </w:p>
          <w:p>
            <w:pPr>
              <w:bidi w:val="0"/>
              <w:spacing w:before="120" w:beforeAutospacing="0" w:after="280" w:afterAutospacing="1"/>
              <w:rPr>
                <w:rtl w:val="0"/>
              </w:rPr>
            </w:pPr>
            <w:r>
              <w:rPr>
                <w:color w:val="000000"/>
                <w:rtl w:val="0"/>
              </w:rPr>
              <w:t>- Kim loại niken chiếm tỷ lệ phần trăm theo khối lượng lớn hơn so với từng nguyên tố bất kỳ khác có trong hợp kim.</w:t>
            </w:r>
          </w:p>
          <w:p>
            <w:pPr>
              <w:bidi w:val="0"/>
              <w:spacing w:before="120" w:beforeAutospacing="0" w:after="0" w:afterAutospacing="0"/>
              <w:rPr>
                <w:rtl w:val="0"/>
              </w:rPr>
            </w:pPr>
            <w:r>
              <w:rPr>
                <w:color w:val="000000"/>
                <w:rtl w:val="0"/>
              </w:rPr>
              <w:t>- Được chế tạo từ bột hợp kim kim loại hoặc vật liệu dạng hạt, từ hệ thống thành phần: Hợp kim niken (Ni-Al-X, Ni-X-Al) đủ tiêu chuẩn dùng cho các chi tiết hoặc bộ phận của động cơ tuabin, có ít hơn 3 hạt phi kim loại (được đưa vào trong quá trình sản xuất) có kích thước lớn hơn 100 μm trong 10⁹ hạt hợp kim; trong đó X là một hoặc nhiều phụ tùng hợp kim.</w:t>
            </w:r>
          </w:p>
        </w:tc>
        <w:tc>
          <w:tcPr>
            <w:tcW w:w="85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1C002.b</w:t>
            </w:r>
          </w:p>
        </w:tc>
      </w:tr>
      <w:tr>
        <w:tblPrEx>
          <w:tblW w:w="5000" w:type="pct"/>
          <w:jc w:val="left"/>
          <w:tblCellMar>
            <w:top w:w="0" w:type="dxa"/>
            <w:left w:w="0" w:type="dxa"/>
            <w:bottom w:w="0" w:type="dxa"/>
            <w:right w:w="0" w:type="dxa"/>
          </w:tblCellMar>
        </w:tblPrEx>
        <w:trPr>
          <w:jc w:val="left"/>
        </w:trPr>
        <w:tc>
          <w:tcPr>
            <w:tcW w:w="388"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19</w:t>
            </w:r>
          </w:p>
        </w:tc>
        <w:tc>
          <w:tcPr>
            <w:tcW w:w="84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280" w:afterAutospacing="1"/>
              <w:jc w:val="center"/>
            </w:pPr>
            <w:r>
              <w:rPr>
                <w:color w:val="000000"/>
                <w:rtl w:val="0"/>
              </w:rPr>
              <w:t>81082000</w:t>
            </w:r>
          </w:p>
          <w:p>
            <w:pPr>
              <w:bidi w:val="0"/>
              <w:spacing w:before="120" w:beforeAutospacing="0" w:after="280" w:afterAutospacing="1"/>
              <w:jc w:val="center"/>
              <w:rPr>
                <w:rtl w:val="0"/>
              </w:rPr>
            </w:pPr>
            <w:r>
              <w:rPr>
                <w:color w:val="000000"/>
                <w:rtl w:val="0"/>
              </w:rPr>
              <w:t>81089000</w:t>
            </w:r>
          </w:p>
          <w:p>
            <w:pPr>
              <w:bidi w:val="0"/>
              <w:spacing w:before="120" w:beforeAutospacing="0" w:after="0" w:afterAutospacing="0"/>
              <w:jc w:val="center"/>
              <w:rPr>
                <w:rtl w:val="0"/>
              </w:rPr>
            </w:pPr>
            <w:r>
              <w:rPr>
                <w:color w:val="000000"/>
                <w:rtl w:val="0"/>
              </w:rPr>
              <w:t> </w:t>
            </w:r>
          </w:p>
        </w:tc>
        <w:tc>
          <w:tcPr>
            <w:tcW w:w="111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Hợp kim titan có độ bền cao</w:t>
            </w:r>
          </w:p>
        </w:tc>
        <w:tc>
          <w:tcPr>
            <w:tcW w:w="179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280" w:afterAutospacing="1"/>
            </w:pPr>
            <w:r>
              <w:rPr>
                <w:color w:val="000000"/>
                <w:rtl w:val="0"/>
              </w:rPr>
              <w:t>- Có bất kỳ đặc tính nào sau đây:</w:t>
            </w:r>
          </w:p>
          <w:p>
            <w:pPr>
              <w:bidi w:val="0"/>
              <w:spacing w:before="120" w:beforeAutospacing="0" w:after="280" w:afterAutospacing="1"/>
              <w:rPr>
                <w:rtl w:val="0"/>
              </w:rPr>
            </w:pPr>
            <w:r>
              <w:rPr>
                <w:color w:val="000000"/>
                <w:rtl w:val="0"/>
              </w:rPr>
              <w:t>(i) Tuổi thọ đứt do ứng suất (stress-rupture life) là 10.000 giờ hoặc lâu hơn ở nhiệt độ 723 K (450°C) với ứng suất 200 MPa; hoặc</w:t>
            </w:r>
          </w:p>
          <w:p>
            <w:pPr>
              <w:bidi w:val="0"/>
              <w:spacing w:before="120" w:beforeAutospacing="0" w:after="280" w:afterAutospacing="1"/>
              <w:rPr>
                <w:rtl w:val="0"/>
              </w:rPr>
            </w:pPr>
            <w:r>
              <w:rPr>
                <w:color w:val="000000"/>
                <w:rtl w:val="0"/>
              </w:rPr>
              <w:t>(ii) Tuổi thọ độ bền mỏi chu kỳ thấp (low cycle fatigue life) là 10.000 chu kỳ hoặc nhiều hơn ở nhiệt độ 723 K (450°C) với ứng suất tối đa 400 MPa.</w:t>
            </w:r>
          </w:p>
          <w:p>
            <w:pPr>
              <w:bidi w:val="0"/>
              <w:spacing w:before="120" w:beforeAutospacing="0" w:after="280" w:afterAutospacing="1"/>
              <w:rPr>
                <w:rtl w:val="0"/>
              </w:rPr>
            </w:pPr>
            <w:r>
              <w:rPr>
                <w:color w:val="000000"/>
                <w:rtl w:val="0"/>
              </w:rPr>
              <w:t>- Trong đó: “Tuổi thọ đứt do ứng suất” đo theo tiêu chuẩn ASTM E-139 hoặc các tiêu chuẩn quốc gia tương đương; “Tuổi thọ độ bền mỏi chu kỳ thấp” được đo theo tiêu chuẩn ASTM E-606 hoặc các tiêu chuẩn quốc gia tương đương.</w:t>
            </w:r>
          </w:p>
          <w:p>
            <w:pPr>
              <w:bidi w:val="0"/>
              <w:spacing w:before="120" w:beforeAutospacing="0" w:after="280" w:afterAutospacing="1"/>
              <w:rPr>
                <w:rtl w:val="0"/>
              </w:rPr>
            </w:pPr>
            <w:r>
              <w:rPr>
                <w:color w:val="000000"/>
                <w:rtl w:val="0"/>
              </w:rPr>
              <w:t>- Không phải loại dùng cho mạ phủ chất nền.</w:t>
            </w:r>
          </w:p>
          <w:p>
            <w:pPr>
              <w:bidi w:val="0"/>
              <w:spacing w:before="120" w:beforeAutospacing="0" w:after="280" w:afterAutospacing="1"/>
              <w:rPr>
                <w:rtl w:val="0"/>
              </w:rPr>
            </w:pPr>
            <w:r>
              <w:rPr>
                <w:color w:val="000000"/>
                <w:rtl w:val="0"/>
              </w:rPr>
              <w:t>- Kim loại titan chiếm tỷ lệ phần trăm theo khối lượng lớn hơn so với từng nguyên tố bất kỳ khác có trong hợp kim.</w:t>
            </w:r>
          </w:p>
          <w:p>
            <w:pPr>
              <w:bidi w:val="0"/>
              <w:spacing w:before="120" w:beforeAutospacing="0" w:after="0" w:afterAutospacing="0"/>
              <w:rPr>
                <w:rtl w:val="0"/>
              </w:rPr>
            </w:pPr>
            <w:r>
              <w:rPr>
                <w:color w:val="000000"/>
                <w:rtl w:val="0"/>
              </w:rPr>
              <w:t>- Được chế tạo từ bột hợp kim kim loại hoặc vật liệu dạng hạt, từ hệ thống thành phần: Ti-Al-X hoặc Ti-X-Al; trong đó X là một hoặc nhiều phụ tùng hợp kim.</w:t>
            </w:r>
          </w:p>
        </w:tc>
        <w:tc>
          <w:tcPr>
            <w:tcW w:w="85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1C002.b</w:t>
            </w:r>
          </w:p>
        </w:tc>
      </w:tr>
      <w:tr>
        <w:tblPrEx>
          <w:tblW w:w="5000" w:type="pct"/>
          <w:jc w:val="left"/>
          <w:tblCellMar>
            <w:top w:w="0" w:type="dxa"/>
            <w:left w:w="0" w:type="dxa"/>
            <w:bottom w:w="0" w:type="dxa"/>
            <w:right w:w="0" w:type="dxa"/>
          </w:tblCellMar>
        </w:tblPrEx>
        <w:trPr>
          <w:jc w:val="left"/>
        </w:trPr>
        <w:tc>
          <w:tcPr>
            <w:tcW w:w="388"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20</w:t>
            </w:r>
          </w:p>
        </w:tc>
        <w:tc>
          <w:tcPr>
            <w:tcW w:w="84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280" w:afterAutospacing="1"/>
              <w:jc w:val="center"/>
            </w:pPr>
            <w:r>
              <w:rPr>
                <w:color w:val="000000"/>
                <w:rtl w:val="0"/>
              </w:rPr>
              <w:t>76012000</w:t>
            </w:r>
          </w:p>
          <w:p>
            <w:pPr>
              <w:bidi w:val="0"/>
              <w:spacing w:before="120" w:beforeAutospacing="0" w:after="280" w:afterAutospacing="1"/>
              <w:jc w:val="center"/>
              <w:rPr>
                <w:rtl w:val="0"/>
              </w:rPr>
            </w:pPr>
            <w:r>
              <w:rPr>
                <w:color w:val="000000"/>
                <w:rtl w:val="0"/>
              </w:rPr>
              <w:t>760429</w:t>
            </w:r>
          </w:p>
          <w:p>
            <w:pPr>
              <w:bidi w:val="0"/>
              <w:spacing w:before="120" w:beforeAutospacing="0" w:after="280" w:afterAutospacing="1"/>
              <w:jc w:val="center"/>
              <w:rPr>
                <w:rtl w:val="0"/>
              </w:rPr>
            </w:pPr>
            <w:r>
              <w:rPr>
                <w:color w:val="000000"/>
                <w:rtl w:val="0"/>
              </w:rPr>
              <w:t>76052100</w:t>
            </w:r>
          </w:p>
          <w:p>
            <w:pPr>
              <w:bidi w:val="0"/>
              <w:spacing w:before="120" w:beforeAutospacing="0" w:after="280" w:afterAutospacing="1"/>
              <w:jc w:val="center"/>
              <w:rPr>
                <w:rtl w:val="0"/>
              </w:rPr>
            </w:pPr>
            <w:r>
              <w:rPr>
                <w:color w:val="000000"/>
                <w:rtl w:val="0"/>
              </w:rPr>
              <w:t>76052910</w:t>
            </w:r>
          </w:p>
          <w:p>
            <w:pPr>
              <w:bidi w:val="0"/>
              <w:spacing w:before="120" w:beforeAutospacing="0" w:after="280" w:afterAutospacing="1"/>
              <w:jc w:val="center"/>
              <w:rPr>
                <w:rtl w:val="0"/>
              </w:rPr>
            </w:pPr>
            <w:r>
              <w:rPr>
                <w:color w:val="000000"/>
                <w:rtl w:val="0"/>
              </w:rPr>
              <w:t>76052990</w:t>
            </w:r>
          </w:p>
          <w:p>
            <w:pPr>
              <w:bidi w:val="0"/>
              <w:spacing w:before="120" w:beforeAutospacing="0" w:after="280" w:afterAutospacing="1"/>
              <w:jc w:val="center"/>
              <w:rPr>
                <w:rtl w:val="0"/>
              </w:rPr>
            </w:pPr>
            <w:r>
              <w:rPr>
                <w:color w:val="000000"/>
                <w:rtl w:val="0"/>
              </w:rPr>
              <w:t>76061290</w:t>
            </w:r>
          </w:p>
          <w:p>
            <w:pPr>
              <w:bidi w:val="0"/>
              <w:spacing w:before="120" w:beforeAutospacing="0" w:after="280" w:afterAutospacing="1"/>
              <w:jc w:val="center"/>
              <w:rPr>
                <w:rtl w:val="0"/>
              </w:rPr>
            </w:pPr>
            <w:r>
              <w:rPr>
                <w:color w:val="000000"/>
                <w:rtl w:val="0"/>
              </w:rPr>
              <w:t>76069200</w:t>
            </w:r>
          </w:p>
          <w:p>
            <w:pPr>
              <w:bidi w:val="0"/>
              <w:spacing w:before="120" w:beforeAutospacing="0" w:after="280" w:afterAutospacing="1"/>
              <w:jc w:val="center"/>
              <w:rPr>
                <w:rtl w:val="0"/>
              </w:rPr>
            </w:pPr>
            <w:r>
              <w:rPr>
                <w:color w:val="000000"/>
                <w:rtl w:val="0"/>
              </w:rPr>
              <w:t>76082000</w:t>
            </w:r>
          </w:p>
          <w:p>
            <w:pPr>
              <w:bidi w:val="0"/>
              <w:spacing w:before="120" w:beforeAutospacing="0" w:after="0" w:afterAutospacing="0"/>
              <w:jc w:val="center"/>
              <w:rPr>
                <w:rtl w:val="0"/>
              </w:rPr>
            </w:pPr>
            <w:r>
              <w:rPr>
                <w:color w:val="000000"/>
                <w:rtl w:val="0"/>
              </w:rPr>
              <w:t>76169990</w:t>
            </w:r>
          </w:p>
        </w:tc>
        <w:tc>
          <w:tcPr>
            <w:tcW w:w="111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Hợp kim nhôm có độ bền cao</w:t>
            </w:r>
          </w:p>
        </w:tc>
        <w:tc>
          <w:tcPr>
            <w:tcW w:w="179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280" w:afterAutospacing="1"/>
            </w:pPr>
            <w:r>
              <w:rPr>
                <w:color w:val="000000"/>
                <w:rtl w:val="0"/>
              </w:rPr>
              <w:t>- Có bất kỳ đặc tính nào sau đây:</w:t>
            </w:r>
          </w:p>
          <w:p>
            <w:pPr>
              <w:bidi w:val="0"/>
              <w:spacing w:before="120" w:beforeAutospacing="0" w:after="280" w:afterAutospacing="1"/>
              <w:rPr>
                <w:rtl w:val="0"/>
              </w:rPr>
            </w:pPr>
            <w:r>
              <w:rPr>
                <w:color w:val="000000"/>
                <w:rtl w:val="0"/>
              </w:rPr>
              <w:t>(i) Độ bền kéo từ 240 MPa trở lên ở 473 K (200°C); hoặc</w:t>
            </w:r>
          </w:p>
          <w:p>
            <w:pPr>
              <w:bidi w:val="0"/>
              <w:spacing w:before="120" w:beforeAutospacing="0" w:after="280" w:afterAutospacing="1"/>
              <w:rPr>
                <w:rtl w:val="0"/>
              </w:rPr>
            </w:pPr>
            <w:r>
              <w:rPr>
                <w:color w:val="000000"/>
                <w:rtl w:val="0"/>
              </w:rPr>
              <w:t>(ii) Độ bền kéo từ 415 MPa trở lên ở 298 K (25°C).</w:t>
            </w:r>
          </w:p>
          <w:p>
            <w:pPr>
              <w:bidi w:val="0"/>
              <w:spacing w:before="120" w:beforeAutospacing="0" w:after="280" w:afterAutospacing="1"/>
              <w:rPr>
                <w:rtl w:val="0"/>
              </w:rPr>
            </w:pPr>
            <w:r>
              <w:rPr>
                <w:color w:val="000000"/>
                <w:rtl w:val="0"/>
              </w:rPr>
              <w:t>- Không phải loại dùng cho mạ phủ chất nền.</w:t>
            </w:r>
          </w:p>
          <w:p>
            <w:pPr>
              <w:bidi w:val="0"/>
              <w:spacing w:before="120" w:beforeAutospacing="0" w:after="280" w:afterAutospacing="1"/>
              <w:rPr>
                <w:rtl w:val="0"/>
              </w:rPr>
            </w:pPr>
            <w:r>
              <w:rPr>
                <w:color w:val="000000"/>
                <w:rtl w:val="0"/>
              </w:rPr>
              <w:t>- Kim loại nhôm chiếm tỷ lệ phần trăm theo khối lượng lớn hơn so với từng nguyên tố bất kỳ khác có trong hợp kim.</w:t>
            </w:r>
          </w:p>
          <w:p>
            <w:pPr>
              <w:bidi w:val="0"/>
              <w:spacing w:before="120" w:beforeAutospacing="0" w:after="0" w:afterAutospacing="0"/>
              <w:rPr>
                <w:rtl w:val="0"/>
              </w:rPr>
            </w:pPr>
            <w:r>
              <w:rPr>
                <w:color w:val="000000"/>
                <w:rtl w:val="0"/>
              </w:rPr>
              <w:t>- Được chế tạo từ bột hợp kim kim loại hoặc vật liệu dạng hạt, từ hệ thống thành phần: Al-Mg-X hay Al-X-Mg, Al-Zn-X hay Al-X-Zn, Al-Fe-X hay Al-X-Fe; trong đó X là một hoặc nhiều phụ tùng hợp kim.</w:t>
            </w:r>
          </w:p>
        </w:tc>
        <w:tc>
          <w:tcPr>
            <w:tcW w:w="85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1C002.b</w:t>
            </w:r>
          </w:p>
        </w:tc>
      </w:tr>
      <w:tr>
        <w:tblPrEx>
          <w:tblW w:w="5000" w:type="pct"/>
          <w:jc w:val="left"/>
          <w:tblCellMar>
            <w:top w:w="0" w:type="dxa"/>
            <w:left w:w="0" w:type="dxa"/>
            <w:bottom w:w="0" w:type="dxa"/>
            <w:right w:w="0" w:type="dxa"/>
          </w:tblCellMar>
        </w:tblPrEx>
        <w:trPr>
          <w:jc w:val="left"/>
        </w:trPr>
        <w:tc>
          <w:tcPr>
            <w:tcW w:w="388"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21</w:t>
            </w:r>
          </w:p>
        </w:tc>
        <w:tc>
          <w:tcPr>
            <w:tcW w:w="84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280" w:afterAutospacing="1"/>
              <w:jc w:val="center"/>
            </w:pPr>
            <w:r>
              <w:rPr>
                <w:color w:val="000000"/>
                <w:rtl w:val="0"/>
              </w:rPr>
              <w:t>72253090</w:t>
            </w:r>
          </w:p>
          <w:p>
            <w:pPr>
              <w:bidi w:val="0"/>
              <w:spacing w:before="120" w:beforeAutospacing="0" w:after="280" w:afterAutospacing="1"/>
              <w:jc w:val="center"/>
              <w:rPr>
                <w:rtl w:val="0"/>
              </w:rPr>
            </w:pPr>
            <w:r>
              <w:rPr>
                <w:color w:val="000000"/>
                <w:rtl w:val="0"/>
              </w:rPr>
              <w:t>72254090</w:t>
            </w:r>
          </w:p>
          <w:p>
            <w:pPr>
              <w:bidi w:val="0"/>
              <w:spacing w:before="120" w:beforeAutospacing="0" w:after="280" w:afterAutospacing="1"/>
              <w:jc w:val="center"/>
              <w:rPr>
                <w:rtl w:val="0"/>
              </w:rPr>
            </w:pPr>
            <w:r>
              <w:rPr>
                <w:color w:val="000000"/>
                <w:rtl w:val="0"/>
              </w:rPr>
              <w:t>72255090</w:t>
            </w:r>
          </w:p>
          <w:p>
            <w:pPr>
              <w:bidi w:val="0"/>
              <w:spacing w:before="120" w:beforeAutospacing="0" w:after="280" w:afterAutospacing="1"/>
              <w:jc w:val="center"/>
              <w:rPr>
                <w:rtl w:val="0"/>
              </w:rPr>
            </w:pPr>
            <w:r>
              <w:rPr>
                <w:color w:val="000000"/>
                <w:rtl w:val="0"/>
              </w:rPr>
              <w:t>72259190</w:t>
            </w:r>
          </w:p>
          <w:p>
            <w:pPr>
              <w:bidi w:val="0"/>
              <w:spacing w:before="120" w:beforeAutospacing="0" w:after="280" w:afterAutospacing="1"/>
              <w:jc w:val="center"/>
              <w:rPr>
                <w:rtl w:val="0"/>
              </w:rPr>
            </w:pPr>
            <w:r>
              <w:rPr>
                <w:color w:val="000000"/>
                <w:rtl w:val="0"/>
              </w:rPr>
              <w:t>72259990</w:t>
            </w:r>
          </w:p>
          <w:p>
            <w:pPr>
              <w:bidi w:val="0"/>
              <w:spacing w:before="120" w:beforeAutospacing="0" w:after="280" w:afterAutospacing="1"/>
              <w:jc w:val="center"/>
              <w:rPr>
                <w:rtl w:val="0"/>
              </w:rPr>
            </w:pPr>
            <w:r>
              <w:rPr>
                <w:color w:val="000000"/>
                <w:rtl w:val="0"/>
              </w:rPr>
              <w:t>72269190</w:t>
            </w:r>
          </w:p>
          <w:p>
            <w:pPr>
              <w:bidi w:val="0"/>
              <w:spacing w:before="120" w:beforeAutospacing="0" w:after="280" w:afterAutospacing="1"/>
              <w:jc w:val="center"/>
              <w:rPr>
                <w:rtl w:val="0"/>
              </w:rPr>
            </w:pPr>
            <w:r>
              <w:rPr>
                <w:color w:val="000000"/>
                <w:rtl w:val="0"/>
              </w:rPr>
              <w:t>72269290</w:t>
            </w:r>
          </w:p>
          <w:p>
            <w:pPr>
              <w:bidi w:val="0"/>
              <w:spacing w:before="120" w:beforeAutospacing="0" w:after="280" w:afterAutospacing="1"/>
              <w:jc w:val="center"/>
              <w:rPr>
                <w:rtl w:val="0"/>
              </w:rPr>
            </w:pPr>
            <w:r>
              <w:rPr>
                <w:color w:val="000000"/>
                <w:rtl w:val="0"/>
              </w:rPr>
              <w:t>72269999</w:t>
            </w:r>
          </w:p>
          <w:p>
            <w:pPr>
              <w:bidi w:val="0"/>
              <w:spacing w:before="120" w:beforeAutospacing="0" w:after="280" w:afterAutospacing="1"/>
              <w:jc w:val="center"/>
              <w:rPr>
                <w:rtl w:val="0"/>
              </w:rPr>
            </w:pPr>
            <w:r>
              <w:rPr>
                <w:color w:val="000000"/>
                <w:rtl w:val="0"/>
              </w:rPr>
              <w:t>73041900</w:t>
            </w:r>
          </w:p>
          <w:p>
            <w:pPr>
              <w:bidi w:val="0"/>
              <w:spacing w:before="120" w:beforeAutospacing="0" w:after="280" w:afterAutospacing="1"/>
              <w:jc w:val="center"/>
              <w:rPr>
                <w:rtl w:val="0"/>
              </w:rPr>
            </w:pPr>
            <w:r>
              <w:rPr>
                <w:color w:val="000000"/>
                <w:rtl w:val="0"/>
              </w:rPr>
              <w:t>730451</w:t>
            </w:r>
          </w:p>
          <w:p>
            <w:pPr>
              <w:bidi w:val="0"/>
              <w:spacing w:before="120" w:beforeAutospacing="0" w:after="280" w:afterAutospacing="1"/>
              <w:jc w:val="center"/>
              <w:rPr>
                <w:rtl w:val="0"/>
              </w:rPr>
            </w:pPr>
            <w:r>
              <w:rPr>
                <w:color w:val="000000"/>
                <w:rtl w:val="0"/>
              </w:rPr>
              <w:t>730459</w:t>
            </w:r>
          </w:p>
          <w:p>
            <w:pPr>
              <w:bidi w:val="0"/>
              <w:spacing w:before="120" w:beforeAutospacing="0" w:after="280" w:afterAutospacing="1"/>
              <w:jc w:val="center"/>
              <w:rPr>
                <w:rtl w:val="0"/>
              </w:rPr>
            </w:pPr>
            <w:r>
              <w:rPr>
                <w:color w:val="000000"/>
                <w:rtl w:val="0"/>
              </w:rPr>
              <w:t>73049090</w:t>
            </w:r>
          </w:p>
          <w:p>
            <w:pPr>
              <w:bidi w:val="0"/>
              <w:spacing w:before="120" w:beforeAutospacing="0" w:after="280" w:afterAutospacing="1"/>
              <w:jc w:val="center"/>
              <w:rPr>
                <w:rtl w:val="0"/>
              </w:rPr>
            </w:pPr>
            <w:r>
              <w:rPr>
                <w:color w:val="000000"/>
                <w:rtl w:val="0"/>
              </w:rPr>
              <w:t>73065099</w:t>
            </w:r>
          </w:p>
          <w:p>
            <w:pPr>
              <w:bidi w:val="0"/>
              <w:spacing w:before="120" w:beforeAutospacing="0" w:after="280" w:afterAutospacing="1"/>
              <w:jc w:val="center"/>
              <w:rPr>
                <w:rtl w:val="0"/>
              </w:rPr>
            </w:pPr>
            <w:r>
              <w:rPr>
                <w:color w:val="000000"/>
                <w:rtl w:val="0"/>
              </w:rPr>
              <w:t>73069097</w:t>
            </w:r>
          </w:p>
          <w:p>
            <w:pPr>
              <w:bidi w:val="0"/>
              <w:spacing w:before="120" w:beforeAutospacing="0" w:after="0" w:afterAutospacing="0"/>
              <w:jc w:val="center"/>
              <w:rPr>
                <w:rtl w:val="0"/>
              </w:rPr>
            </w:pPr>
            <w:r>
              <w:rPr>
                <w:color w:val="000000"/>
                <w:rtl w:val="0"/>
              </w:rPr>
              <w:t>73069099</w:t>
            </w:r>
          </w:p>
        </w:tc>
        <w:tc>
          <w:tcPr>
            <w:tcW w:w="111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Thép siêu bền maraging</w:t>
            </w:r>
          </w:p>
        </w:tc>
        <w:tc>
          <w:tcPr>
            <w:tcW w:w="179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280" w:afterAutospacing="1"/>
            </w:pPr>
            <w:r>
              <w:rPr>
                <w:color w:val="000000"/>
                <w:rtl w:val="0"/>
              </w:rPr>
              <w:t>- Thép siêu bền maraging là hợp kim nền sắt, thường có hàm lượng niken cao, hàm lượng carbon không quá 0,03% khối lượng, đồng thời sử dụng các nguyên tố thay thế hoặc các pha kết tủa để tăng bền và tạo khả năng hóa già cho hợp kim. Thép này được xử lý qua các chu trình nhiệt nhằm thúc đẩy quá trình chuyển biến mactenxit (giai đoạn ủ), sau đó tiếp tục được hóa già (giai đoạn nhiệt luyện hoá bền).</w:t>
            </w:r>
          </w:p>
          <w:p>
            <w:pPr>
              <w:bidi w:val="0"/>
              <w:spacing w:before="120" w:beforeAutospacing="0" w:after="280" w:afterAutospacing="1"/>
              <w:rPr>
                <w:rtl w:val="0"/>
              </w:rPr>
            </w:pPr>
            <w:r>
              <w:rPr>
                <w:color w:val="000000"/>
                <w:rtl w:val="0"/>
              </w:rPr>
              <w:t>- Thép siêu bền maraging, có thể sử dụng trong “tên lửa” (các hệ thống tên lửa hoàn chỉnh và các hệ thống phương tiện bay không người lái có khả năng đạt tầm bay trên 300 km), có tất cả đặc tính sau:</w:t>
            </w:r>
          </w:p>
          <w:p>
            <w:pPr>
              <w:bidi w:val="0"/>
              <w:spacing w:before="120" w:beforeAutospacing="0" w:after="280" w:afterAutospacing="1"/>
              <w:rPr>
                <w:rtl w:val="0"/>
              </w:rPr>
            </w:pPr>
            <w:r>
              <w:rPr>
                <w:color w:val="000000"/>
                <w:rtl w:val="0"/>
              </w:rPr>
              <w:t>(i) Có độ bền kéo tối đa, đo ở 293K (20°C), bằng hoặc lớn hơn 0,9 GPa ở trạng thái ủ; hoặc 1,5 GPa ở trạng thái nhiệt luyện hoá bền (tôi và hoá già);</w:t>
            </w:r>
          </w:p>
          <w:p>
            <w:pPr>
              <w:bidi w:val="0"/>
              <w:spacing w:before="120" w:beforeAutospacing="0" w:after="280" w:afterAutospacing="1"/>
              <w:rPr>
                <w:rtl w:val="0"/>
              </w:rPr>
            </w:pPr>
            <w:r>
              <w:rPr>
                <w:color w:val="000000"/>
                <w:rtl w:val="0"/>
              </w:rPr>
              <w:t>(ii) Ở các dạng sau:</w:t>
            </w:r>
          </w:p>
          <w:p>
            <w:pPr>
              <w:bidi w:val="0"/>
              <w:spacing w:before="120" w:beforeAutospacing="0" w:after="280" w:afterAutospacing="1"/>
              <w:rPr>
                <w:rtl w:val="0"/>
              </w:rPr>
            </w:pPr>
            <w:r>
              <w:rPr>
                <w:color w:val="000000"/>
                <w:rtl w:val="0"/>
              </w:rPr>
              <w:t>- Tấm, phiến hoặc ống có độ dày thành hoặc độ dày tấm từ 5,0 mm trở xuống; hoặc</w:t>
            </w:r>
          </w:p>
          <w:p>
            <w:pPr>
              <w:bidi w:val="0"/>
              <w:spacing w:before="120" w:beforeAutospacing="0" w:after="0" w:afterAutospacing="0"/>
              <w:rPr>
                <w:rtl w:val="0"/>
              </w:rPr>
            </w:pPr>
            <w:r>
              <w:rPr>
                <w:color w:val="000000"/>
                <w:rtl w:val="0"/>
              </w:rPr>
              <w:t>- Các dạng ống có độ dày thành từ 50 mm trở xuống và có đường kính trong từ 270 mm trở lên.</w:t>
            </w:r>
          </w:p>
        </w:tc>
        <w:tc>
          <w:tcPr>
            <w:tcW w:w="85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1C116</w:t>
            </w:r>
          </w:p>
        </w:tc>
      </w:tr>
      <w:tr>
        <w:tblPrEx>
          <w:tblW w:w="5000" w:type="pct"/>
          <w:jc w:val="left"/>
          <w:tblCellMar>
            <w:top w:w="0" w:type="dxa"/>
            <w:left w:w="0" w:type="dxa"/>
            <w:bottom w:w="0" w:type="dxa"/>
            <w:right w:w="0" w:type="dxa"/>
          </w:tblCellMar>
        </w:tblPrEx>
        <w:trPr>
          <w:jc w:val="left"/>
        </w:trPr>
        <w:tc>
          <w:tcPr>
            <w:tcW w:w="388"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22</w:t>
            </w:r>
          </w:p>
        </w:tc>
        <w:tc>
          <w:tcPr>
            <w:tcW w:w="84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280" w:afterAutospacing="1"/>
              <w:jc w:val="center"/>
            </w:pPr>
            <w:r>
              <w:rPr>
                <w:color w:val="000000"/>
                <w:rtl w:val="0"/>
              </w:rPr>
              <w:t>72181000</w:t>
            </w:r>
          </w:p>
          <w:p>
            <w:pPr>
              <w:bidi w:val="0"/>
              <w:spacing w:before="120" w:beforeAutospacing="0" w:after="280" w:afterAutospacing="1"/>
              <w:jc w:val="center"/>
              <w:rPr>
                <w:rtl w:val="0"/>
              </w:rPr>
            </w:pPr>
            <w:r>
              <w:rPr>
                <w:color w:val="000000"/>
                <w:rtl w:val="0"/>
              </w:rPr>
              <w:t>72191400</w:t>
            </w:r>
          </w:p>
          <w:p>
            <w:pPr>
              <w:bidi w:val="0"/>
              <w:spacing w:before="120" w:beforeAutospacing="0" w:after="280" w:afterAutospacing="1"/>
              <w:jc w:val="center"/>
              <w:rPr>
                <w:rtl w:val="0"/>
              </w:rPr>
            </w:pPr>
            <w:r>
              <w:rPr>
                <w:color w:val="000000"/>
                <w:rtl w:val="0"/>
              </w:rPr>
              <w:t>72192400</w:t>
            </w:r>
          </w:p>
          <w:p>
            <w:pPr>
              <w:bidi w:val="0"/>
              <w:spacing w:before="120" w:beforeAutospacing="0" w:after="280" w:afterAutospacing="1"/>
              <w:jc w:val="center"/>
              <w:rPr>
                <w:rtl w:val="0"/>
              </w:rPr>
            </w:pPr>
            <w:r>
              <w:rPr>
                <w:color w:val="000000"/>
                <w:rtl w:val="0"/>
              </w:rPr>
              <w:t>72193300</w:t>
            </w:r>
          </w:p>
          <w:p>
            <w:pPr>
              <w:bidi w:val="0"/>
              <w:spacing w:before="120" w:beforeAutospacing="0" w:after="280" w:afterAutospacing="1"/>
              <w:jc w:val="center"/>
              <w:rPr>
                <w:rtl w:val="0"/>
              </w:rPr>
            </w:pPr>
            <w:r>
              <w:rPr>
                <w:color w:val="000000"/>
                <w:rtl w:val="0"/>
              </w:rPr>
              <w:t>72193400</w:t>
            </w:r>
          </w:p>
          <w:p>
            <w:pPr>
              <w:bidi w:val="0"/>
              <w:spacing w:before="120" w:beforeAutospacing="0" w:after="280" w:afterAutospacing="1"/>
              <w:jc w:val="center"/>
              <w:rPr>
                <w:rtl w:val="0"/>
              </w:rPr>
            </w:pPr>
            <w:r>
              <w:rPr>
                <w:color w:val="000000"/>
                <w:rtl w:val="0"/>
              </w:rPr>
              <w:t>72193500</w:t>
            </w:r>
          </w:p>
          <w:p>
            <w:pPr>
              <w:bidi w:val="0"/>
              <w:spacing w:before="120" w:beforeAutospacing="0" w:after="280" w:afterAutospacing="1"/>
              <w:jc w:val="center"/>
              <w:rPr>
                <w:rtl w:val="0"/>
              </w:rPr>
            </w:pPr>
            <w:r>
              <w:rPr>
                <w:color w:val="000000"/>
                <w:rtl w:val="0"/>
              </w:rPr>
              <w:t>72199000</w:t>
            </w:r>
          </w:p>
          <w:p>
            <w:pPr>
              <w:bidi w:val="0"/>
              <w:spacing w:before="120" w:beforeAutospacing="0" w:after="280" w:afterAutospacing="1"/>
              <w:jc w:val="center"/>
              <w:rPr>
                <w:rtl w:val="0"/>
              </w:rPr>
            </w:pPr>
            <w:r>
              <w:rPr>
                <w:color w:val="000000"/>
                <w:rtl w:val="0"/>
              </w:rPr>
              <w:t>72210000</w:t>
            </w:r>
          </w:p>
          <w:p>
            <w:pPr>
              <w:bidi w:val="0"/>
              <w:spacing w:before="120" w:beforeAutospacing="0" w:after="280" w:afterAutospacing="1"/>
              <w:jc w:val="center"/>
              <w:rPr>
                <w:rtl w:val="0"/>
              </w:rPr>
            </w:pPr>
            <w:r>
              <w:rPr>
                <w:color w:val="000000"/>
                <w:rtl w:val="0"/>
              </w:rPr>
              <w:t>72221100</w:t>
            </w:r>
          </w:p>
          <w:p>
            <w:pPr>
              <w:bidi w:val="0"/>
              <w:spacing w:before="120" w:beforeAutospacing="0" w:after="280" w:afterAutospacing="1"/>
              <w:jc w:val="center"/>
              <w:rPr>
                <w:rtl w:val="0"/>
              </w:rPr>
            </w:pPr>
            <w:r>
              <w:rPr>
                <w:color w:val="000000"/>
                <w:rtl w:val="0"/>
              </w:rPr>
              <w:t>72221900</w:t>
            </w:r>
          </w:p>
          <w:p>
            <w:pPr>
              <w:bidi w:val="0"/>
              <w:spacing w:before="120" w:beforeAutospacing="0" w:after="280" w:afterAutospacing="1"/>
              <w:jc w:val="center"/>
              <w:rPr>
                <w:rtl w:val="0"/>
              </w:rPr>
            </w:pPr>
            <w:r>
              <w:rPr>
                <w:color w:val="000000"/>
                <w:rtl w:val="0"/>
              </w:rPr>
              <w:t>722220</w:t>
            </w:r>
          </w:p>
          <w:p>
            <w:pPr>
              <w:bidi w:val="0"/>
              <w:spacing w:before="120" w:beforeAutospacing="0" w:after="280" w:afterAutospacing="1"/>
              <w:jc w:val="center"/>
              <w:rPr>
                <w:rtl w:val="0"/>
              </w:rPr>
            </w:pPr>
            <w:r>
              <w:rPr>
                <w:color w:val="000000"/>
                <w:rtl w:val="0"/>
              </w:rPr>
              <w:t>722230</w:t>
            </w:r>
          </w:p>
          <w:p>
            <w:pPr>
              <w:bidi w:val="0"/>
              <w:spacing w:before="120" w:beforeAutospacing="0" w:after="280" w:afterAutospacing="1"/>
              <w:jc w:val="center"/>
              <w:rPr>
                <w:rtl w:val="0"/>
              </w:rPr>
            </w:pPr>
            <w:r>
              <w:rPr>
                <w:color w:val="000000"/>
                <w:rtl w:val="0"/>
              </w:rPr>
              <w:t>73041100</w:t>
            </w:r>
          </w:p>
          <w:p>
            <w:pPr>
              <w:bidi w:val="0"/>
              <w:spacing w:before="120" w:beforeAutospacing="0" w:after="280" w:afterAutospacing="1"/>
              <w:jc w:val="center"/>
              <w:rPr>
                <w:rtl w:val="0"/>
              </w:rPr>
            </w:pPr>
            <w:r>
              <w:rPr>
                <w:color w:val="000000"/>
                <w:rtl w:val="0"/>
              </w:rPr>
              <w:t>730422</w:t>
            </w:r>
          </w:p>
          <w:p>
            <w:pPr>
              <w:bidi w:val="0"/>
              <w:spacing w:before="120" w:beforeAutospacing="0" w:after="280" w:afterAutospacing="1"/>
              <w:jc w:val="center"/>
              <w:rPr>
                <w:rtl w:val="0"/>
              </w:rPr>
            </w:pPr>
            <w:r>
              <w:rPr>
                <w:color w:val="000000"/>
                <w:rtl w:val="0"/>
              </w:rPr>
              <w:t>730424</w:t>
            </w:r>
          </w:p>
          <w:p>
            <w:pPr>
              <w:bidi w:val="0"/>
              <w:spacing w:before="120" w:beforeAutospacing="0" w:after="280" w:afterAutospacing="1"/>
              <w:jc w:val="center"/>
              <w:rPr>
                <w:rtl w:val="0"/>
              </w:rPr>
            </w:pPr>
            <w:r>
              <w:rPr>
                <w:color w:val="000000"/>
                <w:rtl w:val="0"/>
              </w:rPr>
              <w:t>73044100</w:t>
            </w:r>
          </w:p>
          <w:p>
            <w:pPr>
              <w:bidi w:val="0"/>
              <w:spacing w:before="120" w:beforeAutospacing="0" w:after="280" w:afterAutospacing="1"/>
              <w:jc w:val="center"/>
              <w:rPr>
                <w:rtl w:val="0"/>
              </w:rPr>
            </w:pPr>
            <w:r>
              <w:rPr>
                <w:color w:val="000000"/>
                <w:rtl w:val="0"/>
              </w:rPr>
              <w:t>73044900</w:t>
            </w:r>
          </w:p>
          <w:p>
            <w:pPr>
              <w:bidi w:val="0"/>
              <w:spacing w:before="120" w:beforeAutospacing="0" w:after="280" w:afterAutospacing="1"/>
              <w:jc w:val="center"/>
              <w:rPr>
                <w:rtl w:val="0"/>
              </w:rPr>
            </w:pPr>
            <w:r>
              <w:rPr>
                <w:color w:val="000000"/>
                <w:rtl w:val="0"/>
              </w:rPr>
              <w:t>73053110</w:t>
            </w:r>
          </w:p>
          <w:p>
            <w:pPr>
              <w:bidi w:val="0"/>
              <w:spacing w:before="120" w:beforeAutospacing="0" w:after="280" w:afterAutospacing="1"/>
              <w:jc w:val="center"/>
              <w:rPr>
                <w:rtl w:val="0"/>
              </w:rPr>
            </w:pPr>
            <w:r>
              <w:rPr>
                <w:color w:val="000000"/>
                <w:rtl w:val="0"/>
              </w:rPr>
              <w:t>730611</w:t>
            </w:r>
          </w:p>
          <w:p>
            <w:pPr>
              <w:bidi w:val="0"/>
              <w:spacing w:before="120" w:beforeAutospacing="0" w:after="280" w:afterAutospacing="1"/>
              <w:jc w:val="center"/>
              <w:rPr>
                <w:rtl w:val="0"/>
              </w:rPr>
            </w:pPr>
            <w:r>
              <w:rPr>
                <w:color w:val="000000"/>
                <w:rtl w:val="0"/>
              </w:rPr>
              <w:t>73062100</w:t>
            </w:r>
          </w:p>
          <w:p>
            <w:pPr>
              <w:bidi w:val="0"/>
              <w:spacing w:before="120" w:beforeAutospacing="0" w:after="280" w:afterAutospacing="1"/>
              <w:jc w:val="center"/>
              <w:rPr>
                <w:rtl w:val="0"/>
              </w:rPr>
            </w:pPr>
            <w:r>
              <w:rPr>
                <w:color w:val="000000"/>
                <w:rtl w:val="0"/>
              </w:rPr>
              <w:t>73064019</w:t>
            </w:r>
          </w:p>
          <w:p>
            <w:pPr>
              <w:bidi w:val="0"/>
              <w:spacing w:before="120" w:beforeAutospacing="0" w:after="0" w:afterAutospacing="0"/>
              <w:jc w:val="center"/>
              <w:rPr>
                <w:rtl w:val="0"/>
              </w:rPr>
            </w:pPr>
            <w:r>
              <w:rPr>
                <w:color w:val="000000"/>
                <w:rtl w:val="0"/>
              </w:rPr>
              <w:t>73064020</w:t>
            </w:r>
          </w:p>
        </w:tc>
        <w:tc>
          <w:tcPr>
            <w:tcW w:w="111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Thép không gỉ có hàm lượng titan trên 0,1%, từ 4,5 - 7% niken và 17 - 23% crom.</w:t>
            </w:r>
          </w:p>
        </w:tc>
        <w:tc>
          <w:tcPr>
            <w:tcW w:w="179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280" w:afterAutospacing="1"/>
            </w:pPr>
            <w:r>
              <w:rPr>
                <w:color w:val="000000"/>
                <w:rtl w:val="0"/>
              </w:rPr>
              <w:t>Thép không gỉ duplex ổn định bằng titan (Ti-DSS) có tất cả các đặc điểm sau:</w:t>
            </w:r>
          </w:p>
          <w:p>
            <w:pPr>
              <w:bidi w:val="0"/>
              <w:spacing w:before="120" w:beforeAutospacing="0" w:after="280" w:afterAutospacing="1"/>
              <w:rPr>
                <w:rtl w:val="0"/>
              </w:rPr>
            </w:pPr>
            <w:r>
              <w:rPr>
                <w:color w:val="000000"/>
                <w:rtl w:val="0"/>
              </w:rPr>
              <w:t>(i) Chứa 17,0 - 23,0% theo trọng lượng crôm và 4,5 - 7,0% theo trọng lượng niken;</w:t>
            </w:r>
          </w:p>
          <w:p>
            <w:pPr>
              <w:bidi w:val="0"/>
              <w:spacing w:before="120" w:beforeAutospacing="0" w:after="280" w:afterAutospacing="1"/>
              <w:rPr>
                <w:rtl w:val="0"/>
              </w:rPr>
            </w:pPr>
            <w:r>
              <w:rPr>
                <w:color w:val="000000"/>
                <w:rtl w:val="0"/>
              </w:rPr>
              <w:t>(ii) Có hàm lượng titan trên 0,1% theo trọng lượng; và</w:t>
            </w:r>
          </w:p>
          <w:p>
            <w:pPr>
              <w:bidi w:val="0"/>
              <w:spacing w:before="120" w:beforeAutospacing="0" w:after="280" w:afterAutospacing="1"/>
              <w:rPr>
                <w:rtl w:val="0"/>
              </w:rPr>
            </w:pPr>
            <w:r>
              <w:rPr>
                <w:color w:val="000000"/>
                <w:rtl w:val="0"/>
              </w:rPr>
              <w:t>(iii) Cấu trúc vi mô ferritic-austenitic (còn được gọi là cấu trúc vi mô hai pha), trong đó ít nhất 10% theo thể tích (theo tiêu chuẩn ASTM E-1181-87 hoặc các tiêu chuẩn quốc gia tương đương) là sắt gamma (austenite); và</w:t>
            </w:r>
          </w:p>
          <w:p>
            <w:pPr>
              <w:bidi w:val="0"/>
              <w:spacing w:before="120" w:beforeAutospacing="0" w:after="280" w:afterAutospacing="1"/>
              <w:rPr>
                <w:rtl w:val="0"/>
              </w:rPr>
            </w:pPr>
            <w:r>
              <w:rPr>
                <w:color w:val="000000"/>
                <w:rtl w:val="0"/>
              </w:rPr>
              <w:t>(iv) Có bất kỳ hình thức nào sau đây:</w:t>
            </w:r>
          </w:p>
          <w:p>
            <w:pPr>
              <w:bidi w:val="0"/>
              <w:spacing w:before="120" w:beforeAutospacing="0" w:after="280" w:afterAutospacing="1"/>
              <w:rPr>
                <w:rtl w:val="0"/>
              </w:rPr>
            </w:pPr>
            <w:r>
              <w:rPr>
                <w:color w:val="000000"/>
                <w:rtl w:val="0"/>
              </w:rPr>
              <w:t>- Thỏi hoặc thanh có kích thước 100 mm trở lên ở mỗi chiều;</w:t>
            </w:r>
          </w:p>
          <w:p>
            <w:pPr>
              <w:bidi w:val="0"/>
              <w:spacing w:before="120" w:beforeAutospacing="0" w:after="280" w:afterAutospacing="1"/>
              <w:rPr>
                <w:rtl w:val="0"/>
              </w:rPr>
            </w:pPr>
            <w:r>
              <w:rPr>
                <w:color w:val="000000"/>
                <w:rtl w:val="0"/>
              </w:rPr>
              <w:t>- Tấm có chiều rộng 600 mm trở lên và độ dày 3 mm trở xuống; hoặc</w:t>
            </w:r>
          </w:p>
          <w:p>
            <w:pPr>
              <w:bidi w:val="0"/>
              <w:spacing w:before="120" w:beforeAutospacing="0" w:after="0" w:afterAutospacing="0"/>
              <w:rPr>
                <w:rtl w:val="0"/>
              </w:rPr>
            </w:pPr>
            <w:r>
              <w:rPr>
                <w:color w:val="000000"/>
                <w:rtl w:val="0"/>
              </w:rPr>
              <w:t>- Ống có đường kính ngoài 600 mm trở lên và độ dày thành 3 mm trở xuống.</w:t>
            </w:r>
          </w:p>
        </w:tc>
        <w:tc>
          <w:tcPr>
            <w:tcW w:w="85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1C118</w:t>
            </w:r>
          </w:p>
        </w:tc>
      </w:tr>
      <w:tr>
        <w:tblPrEx>
          <w:tblW w:w="5000" w:type="pct"/>
          <w:jc w:val="left"/>
          <w:tblCellMar>
            <w:top w:w="0" w:type="dxa"/>
            <w:left w:w="0" w:type="dxa"/>
            <w:bottom w:w="0" w:type="dxa"/>
            <w:right w:w="0" w:type="dxa"/>
          </w:tblCellMar>
        </w:tblPrEx>
        <w:trPr>
          <w:jc w:val="left"/>
        </w:trPr>
        <w:tc>
          <w:tcPr>
            <w:tcW w:w="388"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23</w:t>
            </w:r>
          </w:p>
        </w:tc>
        <w:tc>
          <w:tcPr>
            <w:tcW w:w="84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81019990</w:t>
            </w:r>
          </w:p>
        </w:tc>
        <w:tc>
          <w:tcPr>
            <w:tcW w:w="111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Vonfram, cacbua vonfram và hợp kim chứa hơn 90% vonfram theo trọng lượng</w:t>
            </w:r>
          </w:p>
        </w:tc>
        <w:tc>
          <w:tcPr>
            <w:tcW w:w="179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280" w:afterAutospacing="1"/>
            </w:pPr>
            <w:r>
              <w:rPr>
                <w:color w:val="000000"/>
                <w:rtl w:val="0"/>
              </w:rPr>
              <w:t>- Có cả 2 đặc điểm sau:</w:t>
            </w:r>
          </w:p>
          <w:p>
            <w:pPr>
              <w:bidi w:val="0"/>
              <w:spacing w:before="120" w:beforeAutospacing="0" w:after="280" w:afterAutospacing="1"/>
              <w:rPr>
                <w:rtl w:val="0"/>
              </w:rPr>
            </w:pPr>
            <w:r>
              <w:rPr>
                <w:color w:val="000000"/>
                <w:rtl w:val="0"/>
              </w:rPr>
              <w:t>(i) Có dạng đối xứng hình trụ rỗng (bao gồm các đoạn hình trụ) với đường kính trong từ 100 đến 300 mm; và</w:t>
            </w:r>
          </w:p>
          <w:p>
            <w:pPr>
              <w:bidi w:val="0"/>
              <w:spacing w:before="120" w:beforeAutospacing="0" w:after="280" w:afterAutospacing="1"/>
              <w:rPr>
                <w:rtl w:val="0"/>
              </w:rPr>
            </w:pPr>
            <w:r>
              <w:rPr>
                <w:color w:val="000000"/>
                <w:rtl w:val="0"/>
              </w:rPr>
              <w:t>(ii) Khối lượng lớn hơn 20 kg.</w:t>
            </w:r>
          </w:p>
          <w:p>
            <w:pPr>
              <w:bidi w:val="0"/>
              <w:spacing w:before="120" w:beforeAutospacing="0" w:after="280" w:afterAutospacing="1"/>
              <w:rPr>
                <w:rtl w:val="0"/>
              </w:rPr>
            </w:pPr>
            <w:r>
              <w:rPr>
                <w:color w:val="000000"/>
                <w:rtl w:val="0"/>
              </w:rPr>
              <w:t>- Không áp dụng với các sản phẩm chế tạo được thiết kế chuyên dụng để làm quả cân hoặc bộ chuẩn trực tia gamma</w:t>
            </w:r>
          </w:p>
          <w:p>
            <w:pPr>
              <w:bidi w:val="0"/>
              <w:spacing w:before="120" w:beforeAutospacing="0" w:after="280" w:afterAutospacing="1"/>
              <w:rPr>
                <w:rtl w:val="0"/>
              </w:rPr>
            </w:pPr>
            <w:r>
              <w:rPr>
                <w:color w:val="000000"/>
                <w:rtl w:val="0"/>
              </w:rPr>
              <w:t>- Không bao gồm vật liệu dùng để chế tạo các bộ phận của “tên lửa” (các hệ thống tên lửa hoàn chỉnh và các hệ thống phương tiện bay không người lái có khả năng đạt tầm bay trên 300 km), như sau:</w:t>
            </w:r>
          </w:p>
          <w:p>
            <w:pPr>
              <w:bidi w:val="0"/>
              <w:spacing w:before="120" w:beforeAutospacing="0" w:after="280" w:afterAutospacing="1"/>
              <w:rPr>
                <w:rtl w:val="0"/>
              </w:rPr>
            </w:pPr>
            <w:r>
              <w:rPr>
                <w:color w:val="000000"/>
                <w:rtl w:val="0"/>
              </w:rPr>
              <w:t>(i) Vonfram và hợp kim vonfram ở dạng hạt, có hàm lượng vonfram không dưới 97% tính theo khối lượng và kích thước hạt không quá 50 × 10</w:t>
            </w:r>
            <w:r>
              <w:rPr>
                <w:color w:val="000000"/>
                <w:vertAlign w:val="superscript"/>
                <w:rtl w:val="0"/>
              </w:rPr>
              <w:t>-6</w:t>
            </w:r>
            <w:r>
              <w:rPr>
                <w:color w:val="000000"/>
                <w:rtl w:val="0"/>
              </w:rPr>
              <w:t xml:space="preserve"> m (50 μm).</w:t>
            </w:r>
          </w:p>
          <w:p>
            <w:pPr>
              <w:bidi w:val="0"/>
              <w:spacing w:before="120" w:beforeAutospacing="0" w:after="280" w:afterAutospacing="1"/>
              <w:rPr>
                <w:rtl w:val="0"/>
              </w:rPr>
            </w:pPr>
            <w:r>
              <w:rPr>
                <w:color w:val="000000"/>
                <w:rtl w:val="0"/>
              </w:rPr>
              <w:t>(ii) Vật liệu vonfram ở dạng rắn đáp ứng đồng thời:</w:t>
            </w:r>
          </w:p>
          <w:p>
            <w:pPr>
              <w:bidi w:val="0"/>
              <w:spacing w:before="120" w:beforeAutospacing="0" w:after="280" w:afterAutospacing="1"/>
              <w:rPr>
                <w:rtl w:val="0"/>
              </w:rPr>
            </w:pPr>
            <w:r>
              <w:rPr>
                <w:color w:val="000000"/>
                <w:rtl w:val="0"/>
              </w:rPr>
              <w:t>+ Có một trong các thành phần vật liệu sau: Vonfram và hợp kim chứa không dưới 97% vonfram tính theo khối lượng; Vonfram thấm đồng chứa không dưới 80% vonfram tính theo khối lượng; hoặc Vonfram thấm bạc chứa không dưới 80% vonfram tính theo khối lượng; và</w:t>
            </w:r>
          </w:p>
          <w:p>
            <w:pPr>
              <w:bidi w:val="0"/>
              <w:spacing w:before="120" w:beforeAutospacing="0" w:after="0" w:afterAutospacing="0"/>
              <w:rPr>
                <w:rtl w:val="0"/>
              </w:rPr>
            </w:pPr>
            <w:r>
              <w:rPr>
                <w:color w:val="000000"/>
                <w:rtl w:val="0"/>
              </w:rPr>
              <w:t>+ Có khả năng gia công thành một trong các sản phẩm sau: Hình trụ có đường kính 120 mm trở lên và chiều dài 50 mm trở lên; Ống có đường kính từ 65 mm trở lên, chiều dày thành ống từ 25 mm trở lên và chiều dài từ 50 mm trở lên; hoặc Khối có kích thước từ 120 mm × 120 mm × 50 mm trở lên</w:t>
            </w:r>
          </w:p>
        </w:tc>
        <w:tc>
          <w:tcPr>
            <w:tcW w:w="85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1C226</w:t>
            </w:r>
          </w:p>
        </w:tc>
      </w:tr>
      <w:tr>
        <w:tblPrEx>
          <w:tblW w:w="5000" w:type="pct"/>
          <w:jc w:val="left"/>
          <w:tblCellMar>
            <w:top w:w="0" w:type="dxa"/>
            <w:left w:w="0" w:type="dxa"/>
            <w:bottom w:w="0" w:type="dxa"/>
            <w:right w:w="0" w:type="dxa"/>
          </w:tblCellMar>
        </w:tblPrEx>
        <w:trPr>
          <w:jc w:val="left"/>
        </w:trPr>
        <w:tc>
          <w:tcPr>
            <w:tcW w:w="388"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24</w:t>
            </w:r>
          </w:p>
        </w:tc>
        <w:tc>
          <w:tcPr>
            <w:tcW w:w="84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280" w:afterAutospacing="1"/>
              <w:jc w:val="center"/>
            </w:pPr>
            <w:r>
              <w:rPr>
                <w:color w:val="000000"/>
                <w:rtl w:val="0"/>
              </w:rPr>
              <w:t>81021000</w:t>
            </w:r>
          </w:p>
          <w:p>
            <w:pPr>
              <w:bidi w:val="0"/>
              <w:spacing w:before="120" w:beforeAutospacing="0" w:after="0" w:afterAutospacing="0"/>
              <w:jc w:val="center"/>
              <w:rPr>
                <w:rtl w:val="0"/>
              </w:rPr>
            </w:pPr>
            <w:r>
              <w:rPr>
                <w:color w:val="000000"/>
                <w:rtl w:val="0"/>
              </w:rPr>
              <w:t>81029900</w:t>
            </w:r>
          </w:p>
        </w:tc>
        <w:tc>
          <w:tcPr>
            <w:tcW w:w="111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Molypden và hợp kim có hàm lượng molypden cao</w:t>
            </w:r>
          </w:p>
        </w:tc>
        <w:tc>
          <w:tcPr>
            <w:tcW w:w="179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Molypden và hợp kim ở dạng bột có hàm lượng molypden từ 97% trọng lượng trở lên và kích thước hạt không quá 50 x 10</w:t>
            </w:r>
            <w:r>
              <w:rPr>
                <w:color w:val="000000"/>
                <w:vertAlign w:val="superscript"/>
                <w:rtl w:val="0"/>
              </w:rPr>
              <w:t>-6</w:t>
            </w:r>
            <w:r>
              <w:rPr>
                <w:color w:val="000000"/>
                <w:rtl w:val="0"/>
              </w:rPr>
              <w:t xml:space="preserve"> m (50 μm)</w:t>
            </w:r>
          </w:p>
        </w:tc>
        <w:tc>
          <w:tcPr>
            <w:tcW w:w="85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1C117.b</w:t>
            </w:r>
          </w:p>
        </w:tc>
      </w:tr>
      <w:tr>
        <w:tblPrEx>
          <w:tblW w:w="5000" w:type="pct"/>
          <w:jc w:val="left"/>
          <w:tblCellMar>
            <w:top w:w="0" w:type="dxa"/>
            <w:left w:w="0" w:type="dxa"/>
            <w:bottom w:w="0" w:type="dxa"/>
            <w:right w:w="0" w:type="dxa"/>
          </w:tblCellMar>
        </w:tblPrEx>
        <w:trPr>
          <w:jc w:val="left"/>
        </w:trPr>
        <w:tc>
          <w:tcPr>
            <w:tcW w:w="388"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25</w:t>
            </w:r>
          </w:p>
        </w:tc>
        <w:tc>
          <w:tcPr>
            <w:tcW w:w="84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810610</w:t>
            </w:r>
          </w:p>
        </w:tc>
        <w:tc>
          <w:tcPr>
            <w:tcW w:w="111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Bismuth có độ tinh khiết cao</w:t>
            </w:r>
          </w:p>
        </w:tc>
        <w:tc>
          <w:tcPr>
            <w:tcW w:w="179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280" w:afterAutospacing="1"/>
            </w:pPr>
            <w:r>
              <w:rPr>
                <w:color w:val="000000"/>
                <w:rtl w:val="0"/>
              </w:rPr>
              <w:t>Có cả 2 đặc điểm sau:</w:t>
            </w:r>
          </w:p>
          <w:p>
            <w:pPr>
              <w:bidi w:val="0"/>
              <w:spacing w:before="120" w:beforeAutospacing="0" w:after="280" w:afterAutospacing="1"/>
              <w:rPr>
                <w:rtl w:val="0"/>
              </w:rPr>
            </w:pPr>
            <w:r>
              <w:rPr>
                <w:color w:val="000000"/>
                <w:rtl w:val="0"/>
              </w:rPr>
              <w:t>(i) Độ tinh khiết từ 99,99% trở lên theo trọng lượng; và</w:t>
            </w:r>
          </w:p>
          <w:p>
            <w:pPr>
              <w:bidi w:val="0"/>
              <w:spacing w:before="120" w:beforeAutospacing="0" w:after="0" w:afterAutospacing="0"/>
              <w:rPr>
                <w:rtl w:val="0"/>
              </w:rPr>
            </w:pPr>
            <w:r>
              <w:rPr>
                <w:color w:val="000000"/>
                <w:rtl w:val="0"/>
              </w:rPr>
              <w:t>(ii) Chứa ít hơn 10 phần triệu (ppm) theo trọng lượng bạc.</w:t>
            </w:r>
          </w:p>
        </w:tc>
        <w:tc>
          <w:tcPr>
            <w:tcW w:w="85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1C229</w:t>
            </w:r>
          </w:p>
        </w:tc>
      </w:tr>
      <w:tr>
        <w:tblPrEx>
          <w:tblW w:w="5000" w:type="pct"/>
          <w:jc w:val="left"/>
          <w:tblCellMar>
            <w:top w:w="0" w:type="dxa"/>
            <w:left w:w="0" w:type="dxa"/>
            <w:bottom w:w="0" w:type="dxa"/>
            <w:right w:w="0" w:type="dxa"/>
          </w:tblCellMar>
        </w:tblPrEx>
        <w:trPr>
          <w:jc w:val="left"/>
        </w:trPr>
        <w:tc>
          <w:tcPr>
            <w:tcW w:w="388"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26</w:t>
            </w:r>
          </w:p>
        </w:tc>
        <w:tc>
          <w:tcPr>
            <w:tcW w:w="84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280" w:afterAutospacing="1"/>
              <w:jc w:val="center"/>
            </w:pPr>
            <w:r>
              <w:rPr>
                <w:color w:val="000000"/>
                <w:rtl w:val="0"/>
              </w:rPr>
              <w:t>81041100</w:t>
            </w:r>
          </w:p>
          <w:p>
            <w:pPr>
              <w:bidi w:val="0"/>
              <w:spacing w:before="120" w:beforeAutospacing="0" w:after="280" w:afterAutospacing="1"/>
              <w:jc w:val="center"/>
              <w:rPr>
                <w:rtl w:val="0"/>
              </w:rPr>
            </w:pPr>
            <w:r>
              <w:rPr>
                <w:color w:val="000000"/>
                <w:rtl w:val="0"/>
              </w:rPr>
              <w:t>81041900</w:t>
            </w:r>
          </w:p>
          <w:p>
            <w:pPr>
              <w:bidi w:val="0"/>
              <w:spacing w:before="120" w:beforeAutospacing="0" w:after="280" w:afterAutospacing="1"/>
              <w:jc w:val="center"/>
              <w:rPr>
                <w:rtl w:val="0"/>
              </w:rPr>
            </w:pPr>
            <w:r>
              <w:rPr>
                <w:color w:val="000000"/>
                <w:rtl w:val="0"/>
              </w:rPr>
              <w:t>81043000</w:t>
            </w:r>
          </w:p>
          <w:p>
            <w:pPr>
              <w:bidi w:val="0"/>
              <w:spacing w:before="120" w:beforeAutospacing="0" w:after="0" w:afterAutospacing="0"/>
              <w:jc w:val="center"/>
              <w:rPr>
                <w:rtl w:val="0"/>
              </w:rPr>
            </w:pPr>
            <w:r>
              <w:rPr>
                <w:color w:val="000000"/>
                <w:rtl w:val="0"/>
              </w:rPr>
              <w:t>81049000</w:t>
            </w:r>
          </w:p>
        </w:tc>
        <w:tc>
          <w:tcPr>
            <w:tcW w:w="111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Magie có độ tinh khiết cao</w:t>
            </w:r>
          </w:p>
        </w:tc>
        <w:tc>
          <w:tcPr>
            <w:tcW w:w="179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280" w:afterAutospacing="1"/>
            </w:pPr>
            <w:r>
              <w:rPr>
                <w:color w:val="000000"/>
                <w:rtl w:val="0"/>
              </w:rPr>
              <w:t>Có cả 2 đặc điểm sau:</w:t>
            </w:r>
          </w:p>
          <w:p>
            <w:pPr>
              <w:bidi w:val="0"/>
              <w:spacing w:before="120" w:beforeAutospacing="0" w:after="280" w:afterAutospacing="1"/>
              <w:rPr>
                <w:rtl w:val="0"/>
              </w:rPr>
            </w:pPr>
            <w:r>
              <w:rPr>
                <w:color w:val="000000"/>
                <w:rtl w:val="0"/>
              </w:rPr>
              <w:t>(i) Chứa ít hơn 200 phần triệu (ppm) theo trọng lượng các tạp chất kim loại khác ngoài canxi; và</w:t>
            </w:r>
          </w:p>
          <w:p>
            <w:pPr>
              <w:bidi w:val="0"/>
              <w:spacing w:before="120" w:beforeAutospacing="0" w:after="0" w:afterAutospacing="0"/>
              <w:rPr>
                <w:rtl w:val="0"/>
              </w:rPr>
            </w:pPr>
            <w:r>
              <w:rPr>
                <w:color w:val="000000"/>
                <w:rtl w:val="0"/>
              </w:rPr>
              <w:t>(ii) Chứa ít hơn 10 phần triệu (ppm) theo trọng lượng boron.</w:t>
            </w:r>
          </w:p>
        </w:tc>
        <w:tc>
          <w:tcPr>
            <w:tcW w:w="85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1C228</w:t>
            </w:r>
          </w:p>
        </w:tc>
      </w:tr>
      <w:tr>
        <w:tblPrEx>
          <w:tblW w:w="5000" w:type="pct"/>
          <w:jc w:val="left"/>
          <w:tblCellMar>
            <w:top w:w="0" w:type="dxa"/>
            <w:left w:w="0" w:type="dxa"/>
            <w:bottom w:w="0" w:type="dxa"/>
            <w:right w:w="0" w:type="dxa"/>
          </w:tblCellMar>
        </w:tblPrEx>
        <w:trPr>
          <w:jc w:val="left"/>
        </w:trPr>
        <w:tc>
          <w:tcPr>
            <w:tcW w:w="388"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27</w:t>
            </w:r>
          </w:p>
        </w:tc>
        <w:tc>
          <w:tcPr>
            <w:tcW w:w="84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28051200</w:t>
            </w:r>
          </w:p>
        </w:tc>
        <w:tc>
          <w:tcPr>
            <w:tcW w:w="111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Canxi có độ tinh khiết cao</w:t>
            </w:r>
          </w:p>
        </w:tc>
        <w:tc>
          <w:tcPr>
            <w:tcW w:w="179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280" w:afterAutospacing="1"/>
            </w:pPr>
            <w:r>
              <w:rPr>
                <w:color w:val="000000"/>
                <w:rtl w:val="0"/>
              </w:rPr>
              <w:t>Có cả 2 đặc điểm sau:</w:t>
            </w:r>
          </w:p>
          <w:p>
            <w:pPr>
              <w:bidi w:val="0"/>
              <w:spacing w:before="120" w:beforeAutospacing="0" w:after="280" w:afterAutospacing="1"/>
              <w:rPr>
                <w:rtl w:val="0"/>
              </w:rPr>
            </w:pPr>
            <w:r>
              <w:rPr>
                <w:color w:val="000000"/>
                <w:rtl w:val="0"/>
              </w:rPr>
              <w:t>(i) Chứa ít hơn 1.000 phần triệu (ppm) theo trọng lượng các tạp chất kim loại khác ngoài magiê; và</w:t>
            </w:r>
          </w:p>
          <w:p>
            <w:pPr>
              <w:bidi w:val="0"/>
              <w:spacing w:before="120" w:beforeAutospacing="0" w:after="0" w:afterAutospacing="0"/>
              <w:rPr>
                <w:rtl w:val="0"/>
              </w:rPr>
            </w:pPr>
            <w:r>
              <w:rPr>
                <w:color w:val="000000"/>
                <w:rtl w:val="0"/>
              </w:rPr>
              <w:t>(ii) Chứa ít hơn 10 phần triệu (ppm) theo trọng lượng boron</w:t>
            </w:r>
          </w:p>
        </w:tc>
        <w:tc>
          <w:tcPr>
            <w:tcW w:w="85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1C227</w:t>
            </w:r>
          </w:p>
        </w:tc>
      </w:tr>
      <w:tr>
        <w:tblPrEx>
          <w:tblW w:w="5000" w:type="pct"/>
          <w:jc w:val="left"/>
          <w:tblCellMar>
            <w:top w:w="0" w:type="dxa"/>
            <w:left w:w="0" w:type="dxa"/>
            <w:bottom w:w="0" w:type="dxa"/>
            <w:right w:w="0" w:type="dxa"/>
          </w:tblCellMar>
        </w:tblPrEx>
        <w:trPr>
          <w:jc w:val="left"/>
        </w:trPr>
        <w:tc>
          <w:tcPr>
            <w:tcW w:w="388"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28</w:t>
            </w:r>
          </w:p>
        </w:tc>
        <w:tc>
          <w:tcPr>
            <w:tcW w:w="84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280" w:afterAutospacing="1"/>
              <w:jc w:val="center"/>
            </w:pPr>
            <w:r>
              <w:rPr>
                <w:color w:val="000000"/>
                <w:rtl w:val="0"/>
              </w:rPr>
              <w:t>81123100</w:t>
            </w:r>
          </w:p>
          <w:p>
            <w:pPr>
              <w:bidi w:val="0"/>
              <w:spacing w:before="120" w:beforeAutospacing="0" w:after="0" w:afterAutospacing="0"/>
              <w:jc w:val="center"/>
              <w:rPr>
                <w:rtl w:val="0"/>
              </w:rPr>
            </w:pPr>
            <w:r>
              <w:rPr>
                <w:color w:val="000000"/>
                <w:rtl w:val="0"/>
              </w:rPr>
              <w:t>81123900</w:t>
            </w:r>
          </w:p>
        </w:tc>
        <w:tc>
          <w:tcPr>
            <w:tcW w:w="111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Hafnium và hợp kim của Hafnium</w:t>
            </w:r>
          </w:p>
        </w:tc>
        <w:tc>
          <w:tcPr>
            <w:tcW w:w="179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Kim loại hafnium, hợp kim hafnium và các hợp chất chứa hơn 60% hafnium theo trọng lượng</w:t>
            </w:r>
          </w:p>
        </w:tc>
        <w:tc>
          <w:tcPr>
            <w:tcW w:w="85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1C231</w:t>
            </w:r>
          </w:p>
        </w:tc>
      </w:tr>
      <w:tr>
        <w:tblPrEx>
          <w:tblW w:w="5000" w:type="pct"/>
          <w:jc w:val="left"/>
          <w:tblCellMar>
            <w:top w:w="0" w:type="dxa"/>
            <w:left w:w="0" w:type="dxa"/>
            <w:bottom w:w="0" w:type="dxa"/>
            <w:right w:w="0" w:type="dxa"/>
          </w:tblCellMar>
        </w:tblPrEx>
        <w:trPr>
          <w:jc w:val="left"/>
        </w:trPr>
        <w:tc>
          <w:tcPr>
            <w:tcW w:w="388"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29</w:t>
            </w:r>
          </w:p>
        </w:tc>
        <w:tc>
          <w:tcPr>
            <w:tcW w:w="84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280" w:afterAutospacing="1"/>
              <w:jc w:val="center"/>
            </w:pPr>
            <w:r>
              <w:rPr>
                <w:color w:val="000000"/>
                <w:rtl w:val="0"/>
              </w:rPr>
              <w:t>81121200</w:t>
            </w:r>
          </w:p>
          <w:p>
            <w:pPr>
              <w:bidi w:val="0"/>
              <w:spacing w:before="120" w:beforeAutospacing="0" w:after="280" w:afterAutospacing="1"/>
              <w:jc w:val="center"/>
              <w:rPr>
                <w:rtl w:val="0"/>
              </w:rPr>
            </w:pPr>
            <w:r>
              <w:rPr>
                <w:color w:val="000000"/>
                <w:rtl w:val="0"/>
              </w:rPr>
              <w:t>81121300</w:t>
            </w:r>
          </w:p>
          <w:p>
            <w:pPr>
              <w:bidi w:val="0"/>
              <w:spacing w:before="120" w:beforeAutospacing="0" w:after="0" w:afterAutospacing="0"/>
              <w:jc w:val="center"/>
              <w:rPr>
                <w:rtl w:val="0"/>
              </w:rPr>
            </w:pPr>
            <w:r>
              <w:rPr>
                <w:color w:val="000000"/>
                <w:rtl w:val="0"/>
              </w:rPr>
              <w:t>81121900</w:t>
            </w:r>
          </w:p>
        </w:tc>
        <w:tc>
          <w:tcPr>
            <w:tcW w:w="111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Beri và hợp kim của Beri</w:t>
            </w:r>
          </w:p>
        </w:tc>
        <w:tc>
          <w:tcPr>
            <w:tcW w:w="179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280" w:afterAutospacing="1"/>
            </w:pPr>
            <w:r>
              <w:rPr>
                <w:color w:val="000000"/>
                <w:rtl w:val="0"/>
              </w:rPr>
              <w:t>Kim loại berili; hợp kim có hàm lượng berili lớn hơn 50% tính theo khối lượng; hợp chất berili; các sản phẩm chế tạo từ các loại nêu trên; và phế liệu hoặc phế thải của bất kỳ loại nào trong số các loại nêu trên.</w:t>
            </w:r>
          </w:p>
          <w:p>
            <w:pPr>
              <w:bidi w:val="0"/>
              <w:spacing w:before="120" w:beforeAutospacing="0" w:after="280" w:afterAutospacing="1"/>
              <w:rPr>
                <w:rtl w:val="0"/>
              </w:rPr>
            </w:pPr>
            <w:r>
              <w:rPr>
                <w:color w:val="000000"/>
                <w:rtl w:val="0"/>
              </w:rPr>
              <w:t>Ngoại trừ các mặt hàng sau:</w:t>
            </w:r>
          </w:p>
          <w:p>
            <w:pPr>
              <w:bidi w:val="0"/>
              <w:spacing w:before="120" w:beforeAutospacing="0" w:after="280" w:afterAutospacing="1"/>
              <w:rPr>
                <w:rtl w:val="0"/>
              </w:rPr>
            </w:pPr>
            <w:r>
              <w:rPr>
                <w:color w:val="000000"/>
                <w:rtl w:val="0"/>
              </w:rPr>
              <w:t>(i) Cửa sổ kim loại cho máy X-quang hoặc cho thiết bị đo lường giếng khoan;</w:t>
            </w:r>
          </w:p>
          <w:p>
            <w:pPr>
              <w:bidi w:val="0"/>
              <w:spacing w:before="120" w:beforeAutospacing="0" w:after="280" w:afterAutospacing="1"/>
              <w:rPr>
                <w:rtl w:val="0"/>
              </w:rPr>
            </w:pPr>
            <w:r>
              <w:rPr>
                <w:color w:val="000000"/>
                <w:rtl w:val="0"/>
              </w:rPr>
              <w:t>(ii) Ở dạng oxit đã gia công hoặc bán gia công “được thiết kế đặc biệt” cho các bộ phận linh kiện điện tử hoặc làm vật liệu nền cho mạch điện tử</w:t>
            </w:r>
          </w:p>
          <w:p>
            <w:pPr>
              <w:bidi w:val="0"/>
              <w:spacing w:before="120" w:beforeAutospacing="0" w:after="0" w:afterAutospacing="0"/>
              <w:rPr>
                <w:rtl w:val="0"/>
              </w:rPr>
            </w:pPr>
            <w:r>
              <w:rPr>
                <w:color w:val="000000"/>
                <w:rtl w:val="0"/>
              </w:rPr>
              <w:t>(iii) Beri (muối silicat của beri và nhôm) dưới dạng ngọc lục bảo hoặc ngọc lam.</w:t>
            </w:r>
          </w:p>
        </w:tc>
        <w:tc>
          <w:tcPr>
            <w:tcW w:w="85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1C230</w:t>
            </w:r>
          </w:p>
        </w:tc>
      </w:tr>
      <w:tr>
        <w:tblPrEx>
          <w:tblW w:w="5000" w:type="pct"/>
          <w:jc w:val="left"/>
          <w:tblCellMar>
            <w:top w:w="0" w:type="dxa"/>
            <w:left w:w="0" w:type="dxa"/>
            <w:bottom w:w="0" w:type="dxa"/>
            <w:right w:w="0" w:type="dxa"/>
          </w:tblCellMar>
        </w:tblPrEx>
        <w:trPr>
          <w:jc w:val="left"/>
        </w:trPr>
        <w:tc>
          <w:tcPr>
            <w:tcW w:w="388"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30</w:t>
            </w:r>
          </w:p>
        </w:tc>
        <w:tc>
          <w:tcPr>
            <w:tcW w:w="84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280" w:afterAutospacing="1"/>
              <w:jc w:val="center"/>
            </w:pPr>
            <w:r>
              <w:rPr>
                <w:color w:val="000000"/>
                <w:rtl w:val="0"/>
              </w:rPr>
              <w:t>81124100</w:t>
            </w:r>
          </w:p>
          <w:p>
            <w:pPr>
              <w:bidi w:val="0"/>
              <w:spacing w:before="120" w:beforeAutospacing="0" w:after="0" w:afterAutospacing="0"/>
              <w:jc w:val="center"/>
              <w:rPr>
                <w:rtl w:val="0"/>
              </w:rPr>
            </w:pPr>
            <w:r>
              <w:rPr>
                <w:color w:val="000000"/>
                <w:rtl w:val="0"/>
              </w:rPr>
              <w:t>81124900</w:t>
            </w:r>
          </w:p>
        </w:tc>
        <w:tc>
          <w:tcPr>
            <w:tcW w:w="111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Rheni và hợp kim của Rheni</w:t>
            </w:r>
          </w:p>
        </w:tc>
        <w:tc>
          <w:tcPr>
            <w:tcW w:w="179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280" w:afterAutospacing="1"/>
            </w:pPr>
            <w:r>
              <w:rPr>
                <w:color w:val="000000"/>
                <w:rtl w:val="0"/>
              </w:rPr>
              <w:t>Rheni và hợp kim chứa rheni, có cả hai đặc tính sau:</w:t>
            </w:r>
          </w:p>
          <w:p>
            <w:pPr>
              <w:bidi w:val="0"/>
              <w:spacing w:before="120" w:beforeAutospacing="0" w:after="280" w:afterAutospacing="1"/>
              <w:rPr>
                <w:rtl w:val="0"/>
              </w:rPr>
            </w:pPr>
            <w:r>
              <w:rPr>
                <w:color w:val="000000"/>
                <w:rtl w:val="0"/>
              </w:rPr>
              <w:t>(i) Hợp kim chứa từ 90% trở lên rheni theo trọng lượng; hoặc từ 90% trở lên của rheni và vonfram theo trọng lượng.</w:t>
            </w:r>
          </w:p>
          <w:p>
            <w:pPr>
              <w:bidi w:val="0"/>
              <w:spacing w:before="120" w:beforeAutospacing="0" w:after="0" w:afterAutospacing="0"/>
              <w:rPr>
                <w:rtl w:val="0"/>
              </w:rPr>
            </w:pPr>
            <w:r>
              <w:rPr>
                <w:color w:val="000000"/>
                <w:rtl w:val="0"/>
              </w:rPr>
              <w:t>(ii) Khối lượng lớn hơn 20 kg và có hình dạng đối xứng hình trụ rỗng (bao gồm các đoạn trụ) có đường kính trong từ 100 mm đến 300 mm.</w:t>
            </w:r>
          </w:p>
        </w:tc>
        <w:tc>
          <w:tcPr>
            <w:tcW w:w="85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1C241</w:t>
            </w:r>
          </w:p>
        </w:tc>
      </w:tr>
      <w:tr>
        <w:tblPrEx>
          <w:tblW w:w="5000" w:type="pct"/>
          <w:jc w:val="left"/>
          <w:tblCellMar>
            <w:top w:w="0" w:type="dxa"/>
            <w:left w:w="0" w:type="dxa"/>
            <w:bottom w:w="0" w:type="dxa"/>
            <w:right w:w="0" w:type="dxa"/>
          </w:tblCellMar>
        </w:tblPrEx>
        <w:trPr>
          <w:jc w:val="left"/>
        </w:trPr>
        <w:tc>
          <w:tcPr>
            <w:tcW w:w="388"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bookmarkStart w:id="16" w:name="muc_4_pl"/>
            <w:r>
              <w:rPr>
                <w:b/>
                <w:bCs/>
                <w:color w:val="000000"/>
                <w:rtl w:val="0"/>
              </w:rPr>
              <w:t>IV</w:t>
            </w:r>
            <w:bookmarkEnd w:id="16"/>
          </w:p>
        </w:tc>
        <w:tc>
          <w:tcPr>
            <w:tcW w:w="4612" w:type="pct"/>
            <w:gridSpan w:val="4"/>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bookmarkStart w:id="17" w:name="muc_4_pl_name"/>
            <w:r>
              <w:rPr>
                <w:b/>
                <w:bCs/>
                <w:color w:val="000000"/>
                <w:rtl w:val="0"/>
              </w:rPr>
              <w:t>Phương tiện bay không người lái</w:t>
            </w:r>
            <w:bookmarkEnd w:id="17"/>
          </w:p>
        </w:tc>
      </w:tr>
      <w:tr>
        <w:tblPrEx>
          <w:tblW w:w="5000" w:type="pct"/>
          <w:jc w:val="left"/>
          <w:tblCellMar>
            <w:top w:w="0" w:type="dxa"/>
            <w:left w:w="0" w:type="dxa"/>
            <w:bottom w:w="0" w:type="dxa"/>
            <w:right w:w="0" w:type="dxa"/>
          </w:tblCellMar>
        </w:tblPrEx>
        <w:trPr>
          <w:jc w:val="left"/>
        </w:trPr>
        <w:tc>
          <w:tcPr>
            <w:tcW w:w="388" w:type="pct"/>
            <w:tcBorders>
              <w:top w:val="nil"/>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31</w:t>
            </w:r>
          </w:p>
        </w:tc>
        <w:tc>
          <w:tcPr>
            <w:tcW w:w="845"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8806</w:t>
            </w:r>
          </w:p>
        </w:tc>
        <w:tc>
          <w:tcPr>
            <w:tcW w:w="1119"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Phương tiện bay không người lái (UAV)</w:t>
            </w:r>
          </w:p>
        </w:tc>
        <w:tc>
          <w:tcPr>
            <w:tcW w:w="1797"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280" w:afterAutospacing="1"/>
            </w:pPr>
            <w:r>
              <w:rPr>
                <w:color w:val="000000"/>
                <w:rtl w:val="0"/>
              </w:rPr>
              <w:t>Được thiết kế để bay có kiểm soát ngoài “thị lực tự nhiên” trực tiếp của “người vận hành” và có đặc điểm sau:</w:t>
            </w:r>
          </w:p>
          <w:p>
            <w:pPr>
              <w:bidi w:val="0"/>
              <w:spacing w:before="120" w:beforeAutospacing="0" w:after="280" w:afterAutospacing="1"/>
              <w:rPr>
                <w:rtl w:val="0"/>
              </w:rPr>
            </w:pPr>
            <w:r>
              <w:rPr>
                <w:color w:val="000000"/>
                <w:rtl w:val="0"/>
              </w:rPr>
              <w:t>(i) Có thời gian duy trì hoạt động từ 1 giờ trở lên; hoặc</w:t>
            </w:r>
          </w:p>
          <w:p>
            <w:pPr>
              <w:bidi w:val="0"/>
              <w:spacing w:before="120" w:beforeAutospacing="0" w:after="280" w:afterAutospacing="1"/>
              <w:rPr>
                <w:rtl w:val="0"/>
              </w:rPr>
            </w:pPr>
            <w:r>
              <w:rPr>
                <w:color w:val="000000"/>
                <w:rtl w:val="0"/>
              </w:rPr>
              <w:t>(ii) Có thời gian duy trì hoạt động từ 30 phút trở lên và được thiết kế để cất cánh và duy trì chuyến bay ổn định trong điều kiện gió giật có tốc độ từ 46,3 km/h (25 knot) trở lên.</w:t>
            </w:r>
          </w:p>
          <w:p>
            <w:pPr>
              <w:bidi w:val="0"/>
              <w:spacing w:before="120" w:beforeAutospacing="0" w:after="280" w:afterAutospacing="1"/>
              <w:rPr>
                <w:rtl w:val="0"/>
              </w:rPr>
            </w:pPr>
            <w:r>
              <w:rPr>
                <w:color w:val="000000"/>
                <w:rtl w:val="0"/>
              </w:rPr>
              <w:t>Trong đó:</w:t>
            </w:r>
          </w:p>
          <w:p>
            <w:pPr>
              <w:bidi w:val="0"/>
              <w:spacing w:before="120" w:beforeAutospacing="0" w:after="280" w:afterAutospacing="1"/>
              <w:rPr>
                <w:rtl w:val="0"/>
              </w:rPr>
            </w:pPr>
            <w:r>
              <w:rPr>
                <w:color w:val="000000"/>
                <w:rtl w:val="0"/>
              </w:rPr>
              <w:t>- “Người vận hành” là người khởi động hoặc điều khiển chuyến bay của UAV.</w:t>
            </w:r>
          </w:p>
          <w:p>
            <w:pPr>
              <w:bidi w:val="0"/>
              <w:spacing w:before="120" w:beforeAutospacing="0" w:after="280" w:afterAutospacing="1"/>
              <w:rPr>
                <w:rtl w:val="0"/>
              </w:rPr>
            </w:pPr>
            <w:r>
              <w:rPr>
                <w:color w:val="000000"/>
                <w:rtl w:val="0"/>
              </w:rPr>
              <w:t>- “Thị lực tự nhiên” là khả năng nhìn của con người bằng mắt thường, có hoặc không sử dụng kính điều chỉnh thị lực</w:t>
            </w:r>
          </w:p>
          <w:p>
            <w:pPr>
              <w:bidi w:val="0"/>
              <w:spacing w:before="120" w:beforeAutospacing="0" w:after="0" w:afterAutospacing="0"/>
              <w:rPr>
                <w:rtl w:val="0"/>
              </w:rPr>
            </w:pPr>
            <w:r>
              <w:rPr>
                <w:color w:val="000000"/>
                <w:rtl w:val="0"/>
              </w:rPr>
              <w:t>- Thời gian hoạt động được tính toán trong điều kiện ISA (ISO 2533:1975) ở mực nước biển với sức gió bằng 0.</w:t>
            </w:r>
          </w:p>
        </w:tc>
        <w:tc>
          <w:tcPr>
            <w:tcW w:w="851" w:type="pct"/>
            <w:tcBorders>
              <w:top w:val="nil"/>
              <w:left w:val="nil"/>
              <w:bottom w:val="single" w:sz="8" w:space="0" w:color="000000"/>
              <w:right w:val="single" w:sz="8" w:space="0" w:color="000000"/>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9A012</w:t>
            </w:r>
          </w:p>
        </w:tc>
      </w:tr>
    </w:tbl>
    <w:p>
      <w:pPr>
        <w:bidi w:val="0"/>
        <w:spacing w:before="120" w:beforeAutospacing="0" w:after="280" w:afterAutospacing="1"/>
      </w:pPr>
      <w:r>
        <w:rPr>
          <w:rtl w:val="0"/>
        </w:rPr>
        <w:t> </w:t>
      </w:r>
    </w:p>
    <w:p>
      <w:pPr>
        <w:bidi w:val="0"/>
        <w:spacing w:before="120" w:beforeAutospacing="0" w:after="280" w:afterAutospacing="1"/>
      </w:pPr>
      <w:r>
        <w:rPr>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